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77E" w:rsidRPr="0015402C" w:rsidRDefault="0078177E" w:rsidP="0078177E">
      <w:pPr>
        <w:jc w:val="center"/>
        <w:rPr>
          <w:b/>
          <w:lang w:val="ka-GE"/>
        </w:rPr>
      </w:pPr>
      <w:r w:rsidRPr="00C36B88">
        <w:rPr>
          <w:b/>
          <w:lang w:val="ka-GE"/>
        </w:rPr>
        <w:t xml:space="preserve">ინფორმაცია </w:t>
      </w:r>
      <w:r w:rsidRPr="0015402C">
        <w:rPr>
          <w:b/>
          <w:lang w:val="ka-GE"/>
        </w:rPr>
        <w:t xml:space="preserve">ჯანმრთელობის დაცვის </w:t>
      </w:r>
      <w:r w:rsidRPr="00C36B88">
        <w:rPr>
          <w:b/>
          <w:lang w:val="ka-GE"/>
        </w:rPr>
        <w:t>დეპარტამენტის მიერ განხორციელებული ძირითადი საქმიანობების შესახებ (2018 წელი, 2019 წლის 6 თვე)</w:t>
      </w:r>
    </w:p>
    <w:p w:rsidR="0078177E" w:rsidRPr="00C36B88" w:rsidRDefault="0078177E" w:rsidP="0078177E">
      <w:pPr>
        <w:spacing w:before="240" w:after="0" w:line="240" w:lineRule="auto"/>
        <w:jc w:val="center"/>
        <w:rPr>
          <w:b/>
          <w:lang w:val="ka-GE"/>
        </w:rPr>
      </w:pPr>
    </w:p>
    <w:p w:rsidR="0078177E" w:rsidRDefault="0078177E" w:rsidP="0078177E">
      <w:pPr>
        <w:spacing w:before="240" w:after="0" w:line="240" w:lineRule="auto"/>
        <w:jc w:val="center"/>
        <w:rPr>
          <w:b/>
          <w:lang w:val="ka-GE"/>
        </w:rPr>
      </w:pPr>
      <w:r w:rsidRPr="00C36B88">
        <w:rPr>
          <w:b/>
          <w:lang w:val="ka-GE"/>
        </w:rPr>
        <w:t>დეპარტამენტში შემავალი სამმართველოები:</w:t>
      </w:r>
    </w:p>
    <w:p w:rsidR="0078177E" w:rsidRPr="00C36B88" w:rsidRDefault="0078177E" w:rsidP="0078177E">
      <w:pPr>
        <w:spacing w:before="240" w:after="0" w:line="240" w:lineRule="auto"/>
        <w:jc w:val="center"/>
        <w:rPr>
          <w:b/>
          <w:lang w:val="ka-GE"/>
        </w:rPr>
      </w:pPr>
    </w:p>
    <w:p w:rsidR="0078177E" w:rsidRPr="0078177E" w:rsidRDefault="0078177E" w:rsidP="0078177E">
      <w:pPr>
        <w:pStyle w:val="ListParagraph"/>
        <w:rPr>
          <w:lang w:val="ka-GE"/>
        </w:rPr>
      </w:pPr>
    </w:p>
    <w:p w:rsidR="0078177E" w:rsidRPr="0078177E" w:rsidRDefault="0078177E" w:rsidP="0078177E">
      <w:pPr>
        <w:pStyle w:val="ListParagraph"/>
        <w:numPr>
          <w:ilvl w:val="0"/>
          <w:numId w:val="8"/>
        </w:numPr>
        <w:rPr>
          <w:b/>
          <w:lang w:val="ka-GE"/>
        </w:rPr>
      </w:pPr>
      <w:r w:rsidRPr="0078177E">
        <w:rPr>
          <w:b/>
          <w:lang w:val="ka-GE"/>
        </w:rPr>
        <w:t>საზოგადოებრივი ჯანმრთელობის დაცვისა და პროგრამების სამმართველო</w:t>
      </w:r>
    </w:p>
    <w:p w:rsidR="0078177E" w:rsidRPr="0078177E" w:rsidRDefault="0078177E" w:rsidP="0078177E">
      <w:pPr>
        <w:pStyle w:val="ListParagraph"/>
        <w:numPr>
          <w:ilvl w:val="0"/>
          <w:numId w:val="8"/>
        </w:numPr>
        <w:rPr>
          <w:b/>
          <w:lang w:val="ka-GE"/>
        </w:rPr>
      </w:pPr>
      <w:r w:rsidRPr="0078177E">
        <w:rPr>
          <w:b/>
          <w:lang w:val="ka-GE"/>
        </w:rPr>
        <w:t>პოლიტიკის სამმართველო</w:t>
      </w:r>
    </w:p>
    <w:p w:rsidR="0078177E" w:rsidRPr="0078177E" w:rsidRDefault="0078177E" w:rsidP="0078177E">
      <w:pPr>
        <w:pStyle w:val="ListParagraph"/>
        <w:numPr>
          <w:ilvl w:val="0"/>
          <w:numId w:val="8"/>
        </w:numPr>
        <w:rPr>
          <w:b/>
          <w:lang w:val="ka-GE"/>
        </w:rPr>
      </w:pPr>
      <w:r w:rsidRPr="0078177E">
        <w:rPr>
          <w:b/>
          <w:lang w:val="ka-GE"/>
        </w:rPr>
        <w:t>საორგანიზაციო სამმართველო</w:t>
      </w:r>
    </w:p>
    <w:p w:rsidR="0078177E" w:rsidRDefault="0078177E" w:rsidP="0078177E">
      <w:pPr>
        <w:pStyle w:val="ListParagraph"/>
        <w:numPr>
          <w:ilvl w:val="0"/>
          <w:numId w:val="8"/>
        </w:numPr>
        <w:rPr>
          <w:b/>
          <w:lang w:val="ka-GE"/>
        </w:rPr>
      </w:pPr>
      <w:r w:rsidRPr="0078177E">
        <w:rPr>
          <w:b/>
          <w:lang w:val="ka-GE"/>
        </w:rPr>
        <w:t>რეგულირების სამმართველოს ანგარიში</w:t>
      </w:r>
    </w:p>
    <w:p w:rsidR="0015402C" w:rsidRPr="0078177E" w:rsidRDefault="0015402C" w:rsidP="0015402C">
      <w:pPr>
        <w:pStyle w:val="ListParagraph"/>
        <w:rPr>
          <w:b/>
          <w:lang w:val="ka-GE"/>
        </w:rPr>
      </w:pPr>
    </w:p>
    <w:p w:rsidR="0078177E" w:rsidRPr="0078177E" w:rsidRDefault="0078177E" w:rsidP="0078177E">
      <w:pPr>
        <w:pStyle w:val="ListParagraph"/>
        <w:rPr>
          <w:lang w:val="ka-GE"/>
        </w:rPr>
      </w:pPr>
    </w:p>
    <w:p w:rsidR="0078177E" w:rsidRPr="0015402C" w:rsidRDefault="0078177E" w:rsidP="0015402C">
      <w:pPr>
        <w:jc w:val="center"/>
        <w:rPr>
          <w:b/>
          <w:lang w:val="ka-GE"/>
        </w:rPr>
      </w:pPr>
      <w:r w:rsidRPr="0015402C">
        <w:rPr>
          <w:b/>
          <w:lang w:val="ka-GE"/>
        </w:rPr>
        <w:t>საზოგადოებრივი ჯანმრთელობის დაცვისა და პროგრამების სამმართველო</w:t>
      </w:r>
    </w:p>
    <w:p w:rsidR="0015402C" w:rsidRDefault="0015402C">
      <w:pPr>
        <w:rPr>
          <w:lang w:val="ka-GE"/>
        </w:rPr>
      </w:pPr>
    </w:p>
    <w:p w:rsidR="00063D09" w:rsidRPr="00E9002A" w:rsidRDefault="00063D09">
      <w:pPr>
        <w:rPr>
          <w:b/>
          <w:lang w:val="ka-GE"/>
        </w:rPr>
      </w:pPr>
      <w:r w:rsidRPr="00E9002A">
        <w:rPr>
          <w:b/>
          <w:lang w:val="ka-GE"/>
        </w:rPr>
        <w:t xml:space="preserve">1. მომზადებული და დამტკიცებული დადგენილებები/ბრძანებები/განკარგულებები </w:t>
      </w:r>
    </w:p>
    <w:p w:rsidR="00602CB9" w:rsidRPr="00E9002A" w:rsidRDefault="00602CB9" w:rsidP="00602CB9">
      <w:pPr>
        <w:pStyle w:val="ListParagraph"/>
        <w:numPr>
          <w:ilvl w:val="0"/>
          <w:numId w:val="1"/>
        </w:numPr>
        <w:jc w:val="both"/>
        <w:rPr>
          <w:lang w:val="ka-GE"/>
        </w:rPr>
      </w:pPr>
      <w:r w:rsidRPr="00E9002A">
        <w:rPr>
          <w:lang w:val="ka-GE"/>
        </w:rPr>
        <w:t>შემუშავდა და დამტკიცდა 2019 წლის ჯანმრთელობის დაცვის სახელმწიფო პროგრამების (22 ვერტიკალური პროგრამა) დამტკიცების შესახებ საქართველო</w:t>
      </w:r>
      <w:r w:rsidR="009D0F23" w:rsidRPr="00E9002A">
        <w:rPr>
          <w:lang w:val="ka-GE"/>
        </w:rPr>
        <w:t>ს</w:t>
      </w:r>
      <w:r w:rsidRPr="00E9002A">
        <w:rPr>
          <w:lang w:val="ka-GE"/>
        </w:rPr>
        <w:t xml:space="preserve"> მთ</w:t>
      </w:r>
      <w:r w:rsidR="009D0F23" w:rsidRPr="00E9002A">
        <w:rPr>
          <w:lang w:val="ka-GE"/>
        </w:rPr>
        <w:t>ა</w:t>
      </w:r>
      <w:r w:rsidRPr="00E9002A">
        <w:rPr>
          <w:lang w:val="ka-GE"/>
        </w:rPr>
        <w:t>ვრობის დადგენილების პროექტი</w:t>
      </w:r>
      <w:r w:rsidR="00E9002A">
        <w:rPr>
          <w:lang w:val="ka-GE"/>
        </w:rPr>
        <w:t>;</w:t>
      </w:r>
    </w:p>
    <w:p w:rsidR="00602CB9" w:rsidRPr="00E9002A" w:rsidRDefault="00602CB9" w:rsidP="00063D09">
      <w:pPr>
        <w:pStyle w:val="ListParagraph"/>
        <w:numPr>
          <w:ilvl w:val="0"/>
          <w:numId w:val="1"/>
        </w:numPr>
        <w:jc w:val="both"/>
        <w:rPr>
          <w:lang w:val="ka-GE"/>
        </w:rPr>
      </w:pPr>
      <w:r w:rsidRPr="00E9002A">
        <w:rPr>
          <w:lang w:val="ka-GE"/>
        </w:rPr>
        <w:t xml:space="preserve">მომზადდა და დამტკიცდა </w:t>
      </w:r>
      <w:r w:rsidRPr="00E9002A">
        <w:t xml:space="preserve">C </w:t>
      </w:r>
      <w:r w:rsidRPr="00E9002A">
        <w:rPr>
          <w:lang w:val="ka-GE"/>
        </w:rPr>
        <w:t>ჰეპატიტის მართვის სახელმწიფო პროგრამის ცვლილების პროექტი</w:t>
      </w:r>
      <w:r w:rsidR="00063D09" w:rsidRPr="00E9002A">
        <w:rPr>
          <w:lang w:val="ka-GE"/>
        </w:rPr>
        <w:t xml:space="preserve">, </w:t>
      </w:r>
      <w:r w:rsidR="00A529DA" w:rsidRPr="00E9002A">
        <w:rPr>
          <w:lang w:val="ka-GE"/>
        </w:rPr>
        <w:t xml:space="preserve">მათ შორის, </w:t>
      </w:r>
      <w:r w:rsidR="00063D09" w:rsidRPr="00E9002A">
        <w:rPr>
          <w:lang w:val="ka-GE"/>
        </w:rPr>
        <w:t xml:space="preserve">გათვალისწინებულ იქნა </w:t>
      </w:r>
      <w:r w:rsidR="00A529DA" w:rsidRPr="00E9002A">
        <w:rPr>
          <w:lang w:val="ka-GE"/>
        </w:rPr>
        <w:t xml:space="preserve">პროგრამის დეცენტრალიზაციასთან დაკავშირებული </w:t>
      </w:r>
      <w:r w:rsidR="00063D09" w:rsidRPr="00E9002A">
        <w:rPr>
          <w:lang w:val="ka-GE"/>
        </w:rPr>
        <w:t>აქტივობები</w:t>
      </w:r>
      <w:r w:rsidR="00E9002A">
        <w:rPr>
          <w:lang w:val="ka-GE"/>
        </w:rPr>
        <w:t>;</w:t>
      </w:r>
    </w:p>
    <w:p w:rsidR="00622C0E" w:rsidRPr="00E9002A" w:rsidRDefault="00622C0E" w:rsidP="000E1006">
      <w:pPr>
        <w:pStyle w:val="ListParagraph"/>
        <w:numPr>
          <w:ilvl w:val="0"/>
          <w:numId w:val="1"/>
        </w:numPr>
        <w:jc w:val="both"/>
        <w:rPr>
          <w:lang w:val="ka-GE"/>
        </w:rPr>
      </w:pPr>
      <w:r w:rsidRPr="00E9002A">
        <w:rPr>
          <w:lang w:val="ka-GE"/>
        </w:rPr>
        <w:t xml:space="preserve">მომზადდა 2018 წლის </w:t>
      </w:r>
      <w:r w:rsidR="00A529DA" w:rsidRPr="00E9002A">
        <w:rPr>
          <w:lang w:val="ka-GE"/>
        </w:rPr>
        <w:t xml:space="preserve">ჯანმრთელობის დაცვის სახელმწიფო პროგრამების შესრულების </w:t>
      </w:r>
      <w:r w:rsidRPr="00E9002A">
        <w:rPr>
          <w:lang w:val="ka-GE"/>
        </w:rPr>
        <w:t xml:space="preserve"> კვარტალური და წლიური ანგარიშები და 2019 წლის პირველი კვარტალის შესრულების ანგარიში;</w:t>
      </w:r>
    </w:p>
    <w:p w:rsidR="00622C0E" w:rsidRPr="00E9002A" w:rsidRDefault="000E1006" w:rsidP="000E1006">
      <w:pPr>
        <w:pStyle w:val="ListParagraph"/>
        <w:numPr>
          <w:ilvl w:val="0"/>
          <w:numId w:val="1"/>
        </w:numPr>
        <w:jc w:val="both"/>
        <w:rPr>
          <w:lang w:val="ka-GE"/>
        </w:rPr>
      </w:pPr>
      <w:r w:rsidRPr="00E9002A">
        <w:rPr>
          <w:lang w:val="ka-GE"/>
        </w:rPr>
        <w:t xml:space="preserve">მომზადდა და დამტკიცდა </w:t>
      </w:r>
      <w:r w:rsidR="00622C0E" w:rsidRPr="00E9002A">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A529DA" w:rsidRPr="00E9002A">
        <w:rPr>
          <w:lang w:val="ka-GE"/>
        </w:rPr>
        <w:t xml:space="preserve">ბიუჯეტის </w:t>
      </w:r>
      <w:r w:rsidR="00622C0E" w:rsidRPr="00E9002A">
        <w:t>საშუალოვადიანი</w:t>
      </w:r>
      <w:r w:rsidRPr="00E9002A">
        <w:rPr>
          <w:lang w:val="ka-GE"/>
        </w:rPr>
        <w:t xml:space="preserve"> </w:t>
      </w:r>
      <w:r w:rsidRPr="00E9002A">
        <w:t>(20</w:t>
      </w:r>
      <w:r w:rsidRPr="00E9002A">
        <w:rPr>
          <w:lang w:val="ka-GE"/>
        </w:rPr>
        <w:t>19</w:t>
      </w:r>
      <w:r w:rsidRPr="00E9002A">
        <w:t>-202</w:t>
      </w:r>
      <w:r w:rsidRPr="00E9002A">
        <w:rPr>
          <w:lang w:val="ka-GE"/>
        </w:rPr>
        <w:t>2</w:t>
      </w:r>
      <w:r w:rsidRPr="00E9002A">
        <w:t xml:space="preserve"> წლების) (2020-2023 წლების)</w:t>
      </w:r>
      <w:r w:rsidR="00622C0E" w:rsidRPr="00E9002A">
        <w:t xml:space="preserve"> სამოქმედო </w:t>
      </w:r>
      <w:r w:rsidR="00A529DA" w:rsidRPr="00E9002A">
        <w:t>გეგმ</w:t>
      </w:r>
      <w:r w:rsidR="00A529DA" w:rsidRPr="00E9002A">
        <w:rPr>
          <w:lang w:val="ka-GE"/>
        </w:rPr>
        <w:t>ის ჯანმრთელობის დაცვის ნაწილი;</w:t>
      </w:r>
    </w:p>
    <w:p w:rsidR="006D0058" w:rsidRPr="00E9002A" w:rsidRDefault="00D7501D" w:rsidP="006D0058">
      <w:pPr>
        <w:pStyle w:val="ListParagraph"/>
        <w:numPr>
          <w:ilvl w:val="0"/>
          <w:numId w:val="1"/>
        </w:numPr>
        <w:jc w:val="both"/>
        <w:rPr>
          <w:lang w:val="ka-GE"/>
        </w:rPr>
      </w:pPr>
      <w:r w:rsidRPr="00E9002A">
        <w:rPr>
          <w:lang w:val="ka-GE"/>
        </w:rPr>
        <w:t xml:space="preserve">2018 </w:t>
      </w:r>
      <w:r w:rsidR="006D0058" w:rsidRPr="00E9002A">
        <w:rPr>
          <w:lang w:val="ka-GE"/>
        </w:rPr>
        <w:t xml:space="preserve">– 2019 </w:t>
      </w:r>
      <w:r w:rsidRPr="00E9002A">
        <w:rPr>
          <w:lang w:val="ka-GE"/>
        </w:rPr>
        <w:t>წლ</w:t>
      </w:r>
      <w:r w:rsidR="006D0058" w:rsidRPr="00E9002A">
        <w:rPr>
          <w:lang w:val="ka-GE"/>
        </w:rPr>
        <w:t>ებში</w:t>
      </w:r>
      <w:r w:rsidRPr="00E9002A">
        <w:rPr>
          <w:lang w:val="ka-GE"/>
        </w:rPr>
        <w:t xml:space="preserve"> - საყოველთაო ჯანმრთელობის დაცვის პროგრამაში განხორციელდა ცვლილებები. კერძოდ, </w:t>
      </w:r>
      <w:r w:rsidR="006D0058" w:rsidRPr="00E9002A">
        <w:rPr>
          <w:lang w:val="ka-GE"/>
        </w:rPr>
        <w:t>განხორციელდა ცვლილებები პროგრამით განსაზღვრული მომსახურების მოცულობასთან, ადმინისტრირებასთან და საჯარიმო სანქციებთან დაკავშირებით. 2018 წელს დაიწყო და გრძელდება მუშაობა: საჯარიმო სანქციების გადახედვის მიზნით; პჯდ და კარდიოქირურგიული მომსახურების მიმწოდებელი დაწესებულებების სელექტიურ</w:t>
      </w:r>
      <w:r w:rsidR="00A529DA" w:rsidRPr="00E9002A">
        <w:rPr>
          <w:lang w:val="ka-GE"/>
        </w:rPr>
        <w:t>ი</w:t>
      </w:r>
      <w:r w:rsidR="006D0058" w:rsidRPr="00E9002A">
        <w:rPr>
          <w:lang w:val="ka-GE"/>
        </w:rPr>
        <w:t xml:space="preserve"> კონტრაქტირების პირობებზე;</w:t>
      </w:r>
    </w:p>
    <w:p w:rsidR="00A529DA" w:rsidRPr="00E9002A" w:rsidRDefault="00A529DA" w:rsidP="00063D09">
      <w:pPr>
        <w:pStyle w:val="ListParagraph"/>
        <w:numPr>
          <w:ilvl w:val="0"/>
          <w:numId w:val="1"/>
        </w:numPr>
        <w:jc w:val="both"/>
        <w:rPr>
          <w:lang w:val="ka-GE"/>
        </w:rPr>
      </w:pPr>
      <w:r w:rsidRPr="00E9002A">
        <w:rPr>
          <w:lang w:val="ka-GE"/>
        </w:rPr>
        <w:t>2018-2019 წლებში - ქრონიკული დაავადებების სამკურნალო მედიკამენტებით უზრუნველყოფის პროგრამის ფარგლებში განხორციელდა ცვლილებები, პროგრამის მოსარგებლეთა არეალის, მედიკამენტების ჩამონათვალისა და გეოგრაფიული ხელმისაწვდომობის გაფართოვებასთან დაკავშირებით;</w:t>
      </w:r>
    </w:p>
    <w:p w:rsidR="009D0F23" w:rsidRPr="00E9002A" w:rsidRDefault="009D0F23" w:rsidP="009D0F23">
      <w:pPr>
        <w:pStyle w:val="ListParagraph"/>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jc w:val="both"/>
      </w:pPr>
      <w:r w:rsidRPr="00E9002A">
        <w:t>დამტკიცდა საქართველოს მთავრობის განკარგულება ,,ბავშვებში ტყვიის ტოქსიური ზემოქმედების ადრეული გამოვლენის და მართვის ღონისძიებების გატარების შესახებ“; შემუშავდა და დამტკიცდა ტყვიის ბიომონიტორინგის პროგრამა.</w:t>
      </w:r>
    </w:p>
    <w:p w:rsidR="00E9002A" w:rsidRPr="0015402C" w:rsidRDefault="009D0F23" w:rsidP="00E9002A">
      <w:pPr>
        <w:pStyle w:val="ListParagraph"/>
        <w:numPr>
          <w:ilvl w:val="0"/>
          <w:numId w:val="1"/>
        </w:numPr>
        <w:jc w:val="both"/>
        <w:rPr>
          <w:lang w:val="ka-GE"/>
        </w:rPr>
      </w:pPr>
      <w:r w:rsidRPr="00E9002A">
        <w:rPr>
          <w:lang w:val="ka-GE"/>
        </w:rPr>
        <w:lastRenderedPageBreak/>
        <w:t>შემუშავდა და დამტკიცდა სხვადასხვა დადგენილებების ქვემდებარე სამართლებრივი აქტები (მინისტრის ბრძანებები), პროგრამების ეფექტური იმპლემენტაციის უზრუნველყოფის მიზნით.</w:t>
      </w:r>
    </w:p>
    <w:p w:rsidR="00E9002A" w:rsidRPr="00E9002A" w:rsidRDefault="00E9002A" w:rsidP="00E9002A">
      <w:pPr>
        <w:jc w:val="both"/>
        <w:rPr>
          <w:lang w:val="ka-GE"/>
        </w:rPr>
      </w:pPr>
    </w:p>
    <w:p w:rsidR="00063D09" w:rsidRPr="00E9002A" w:rsidRDefault="00063D09" w:rsidP="00063D09">
      <w:pPr>
        <w:jc w:val="both"/>
        <w:rPr>
          <w:b/>
          <w:lang w:val="ka-GE"/>
        </w:rPr>
      </w:pPr>
      <w:r w:rsidRPr="00E9002A">
        <w:rPr>
          <w:b/>
          <w:lang w:val="ka-GE"/>
        </w:rPr>
        <w:t>2.</w:t>
      </w:r>
      <w:r w:rsidR="0015402C">
        <w:rPr>
          <w:b/>
        </w:rPr>
        <w:t xml:space="preserve"> </w:t>
      </w:r>
      <w:r w:rsidRPr="00E9002A">
        <w:rPr>
          <w:b/>
          <w:lang w:val="ka-GE"/>
        </w:rPr>
        <w:t>მიმდინარე/პერიოდული/რუტინული აქტივობები</w:t>
      </w:r>
    </w:p>
    <w:p w:rsidR="006D0058" w:rsidRPr="00E9002A" w:rsidRDefault="00E47EFC" w:rsidP="009D0F23">
      <w:pPr>
        <w:pStyle w:val="ListParagraph"/>
        <w:numPr>
          <w:ilvl w:val="0"/>
          <w:numId w:val="2"/>
        </w:numPr>
        <w:jc w:val="both"/>
        <w:rPr>
          <w:lang w:val="ka-GE"/>
        </w:rPr>
      </w:pPr>
      <w:r w:rsidRPr="00E9002A">
        <w:rPr>
          <w:lang w:val="ka-GE"/>
        </w:rPr>
        <w:t xml:space="preserve">მიმდინარეობს </w:t>
      </w:r>
      <w:r w:rsidR="00063D09" w:rsidRPr="00E9002A">
        <w:rPr>
          <w:lang w:val="ka-GE"/>
        </w:rPr>
        <w:t xml:space="preserve">მუშაობა </w:t>
      </w:r>
      <w:r w:rsidR="006D0058" w:rsidRPr="00E9002A">
        <w:rPr>
          <w:lang w:val="ka-GE"/>
        </w:rPr>
        <w:t xml:space="preserve">„სოფლის ექიმის“ </w:t>
      </w:r>
      <w:r w:rsidR="002B7218" w:rsidRPr="00E9002A">
        <w:rPr>
          <w:lang w:val="ka-GE"/>
        </w:rPr>
        <w:t>სახელმწიფო პროგრამის ცვლილებ</w:t>
      </w:r>
      <w:r w:rsidR="00063D09" w:rsidRPr="00E9002A">
        <w:rPr>
          <w:lang w:val="ka-GE"/>
        </w:rPr>
        <w:t>ის პროექტზე;</w:t>
      </w:r>
    </w:p>
    <w:p w:rsidR="00E47EFC" w:rsidRPr="00E9002A" w:rsidRDefault="00E9002A" w:rsidP="009D0F23">
      <w:pPr>
        <w:pStyle w:val="ListParagraph"/>
        <w:numPr>
          <w:ilvl w:val="0"/>
          <w:numId w:val="2"/>
        </w:numPr>
        <w:jc w:val="both"/>
        <w:rPr>
          <w:lang w:val="ka-GE"/>
        </w:rPr>
      </w:pPr>
      <w:r>
        <w:rPr>
          <w:lang w:val="ka-GE"/>
        </w:rPr>
        <w:t xml:space="preserve">ხორციელდება </w:t>
      </w:r>
      <w:r w:rsidR="00E47EFC" w:rsidRPr="00E9002A">
        <w:rPr>
          <w:lang w:val="ka-GE"/>
        </w:rPr>
        <w:t>გლობალური ფონდის აქტივობების ეტ</w:t>
      </w:r>
      <w:r w:rsidR="00063D09" w:rsidRPr="00E9002A">
        <w:rPr>
          <w:lang w:val="ka-GE"/>
        </w:rPr>
        <w:t>ა</w:t>
      </w:r>
      <w:r w:rsidR="00E47EFC" w:rsidRPr="00E9002A">
        <w:rPr>
          <w:lang w:val="ka-GE"/>
        </w:rPr>
        <w:t>პობრივი გადმობარება სახელმწიფო ბიუჯეტში (ტუბერკულოზის და შიდსის სახელმწიფო პროგრამები);</w:t>
      </w:r>
    </w:p>
    <w:p w:rsidR="00D7501D" w:rsidRPr="00E9002A" w:rsidRDefault="00E9002A" w:rsidP="009D0F23">
      <w:pPr>
        <w:pStyle w:val="ListParagraph"/>
        <w:numPr>
          <w:ilvl w:val="0"/>
          <w:numId w:val="2"/>
        </w:numPr>
        <w:jc w:val="both"/>
        <w:rPr>
          <w:bCs/>
          <w:lang w:val="ka-GE"/>
        </w:rPr>
      </w:pPr>
      <w:r>
        <w:rPr>
          <w:bCs/>
          <w:lang w:val="ka-GE"/>
        </w:rPr>
        <w:t xml:space="preserve">სამმართველო მონაწილეობს </w:t>
      </w:r>
      <w:r w:rsidR="00D7501D" w:rsidRPr="00E9002A">
        <w:rPr>
          <w:bCs/>
        </w:rPr>
        <w:t>სტაციონარულ დაწესებულებებში ინფექციური კონტროლის ღონისძიებების განხორციელება</w:t>
      </w:r>
      <w:r w:rsidR="009D0F23" w:rsidRPr="00E9002A">
        <w:rPr>
          <w:bCs/>
          <w:lang w:val="ka-GE"/>
        </w:rPr>
        <w:t xml:space="preserve">ში </w:t>
      </w:r>
      <w:r w:rsidR="00D7501D" w:rsidRPr="00E9002A">
        <w:rPr>
          <w:bCs/>
          <w:lang w:val="ka-GE"/>
        </w:rPr>
        <w:t>- სტაციონარული სერვისის მიმწოდებელი დაწესებულებების შემოწმება/მონიტორინგი სამინისტროს მიერ შემუშავებული შესაბამისი ინსტრუმენტით, ორ ეტაპად. შესაბამისი დასკვნების წარმოება, დაწესებულებებისთვის გაგზავნა და მეორე ეტაპის შემდეგ სსიპ-სამედიცინო საქმიანობის სახელწიფო რეგულირების სააგენტოს ინფორმირება მესამე ეტაპის განხორციელების საჭიროების შესახებ.</w:t>
      </w:r>
    </w:p>
    <w:p w:rsidR="00D7501D" w:rsidRPr="00E9002A" w:rsidRDefault="00D7501D" w:rsidP="009D0F23">
      <w:pPr>
        <w:pStyle w:val="ListParagraph"/>
        <w:numPr>
          <w:ilvl w:val="0"/>
          <w:numId w:val="2"/>
        </w:numPr>
        <w:jc w:val="both"/>
        <w:rPr>
          <w:b/>
          <w:lang w:val="ka-GE"/>
        </w:rPr>
      </w:pPr>
      <w:r w:rsidRPr="00E9002A">
        <w:rPr>
          <w:bCs/>
          <w:lang w:val="ka-GE"/>
        </w:rPr>
        <w:t>ქვეყანაში სეზონური გრიპის გავრცელების მკვეთრი მატების დროს რეაგირების პროექტის კოორდინ</w:t>
      </w:r>
      <w:r w:rsidR="009D0F23" w:rsidRPr="00E9002A">
        <w:rPr>
          <w:bCs/>
          <w:lang w:val="ka-GE"/>
        </w:rPr>
        <w:t xml:space="preserve">ირება. კერძოდ, </w:t>
      </w:r>
      <w:r w:rsidRPr="00E9002A">
        <w:rPr>
          <w:bCs/>
          <w:lang w:val="ka-GE"/>
        </w:rPr>
        <w:t>შემთხვევების გართულებისა პრევენციისა  და გავრცელების შეზღუდვისთვის მორიგე დაწესებულებების 24/7-ზე რეჟიმის ამუშავება, 112-ის შეფერხებული მუშაობის პრევენცია</w:t>
      </w:r>
      <w:r w:rsidR="009D0F23" w:rsidRPr="00E9002A">
        <w:rPr>
          <w:bCs/>
          <w:lang w:val="ka-GE"/>
        </w:rPr>
        <w:t>/კოორდინაცია</w:t>
      </w:r>
      <w:r w:rsidRPr="00E9002A">
        <w:rPr>
          <w:bCs/>
          <w:lang w:val="ka-GE"/>
        </w:rPr>
        <w:t>.</w:t>
      </w:r>
    </w:p>
    <w:p w:rsidR="006D0058" w:rsidRPr="00E9002A" w:rsidRDefault="006D0058" w:rsidP="009D0F23">
      <w:pPr>
        <w:pStyle w:val="ListParagraph"/>
        <w:numPr>
          <w:ilvl w:val="0"/>
          <w:numId w:val="2"/>
        </w:numPr>
        <w:spacing w:after="0" w:line="240" w:lineRule="auto"/>
        <w:jc w:val="both"/>
        <w:rPr>
          <w:rFonts w:eastAsia="Times New Roman" w:cs="Times New Roman"/>
          <w:noProof w:val="0"/>
        </w:rPr>
      </w:pPr>
      <w:proofErr w:type="spellStart"/>
      <w:r w:rsidRPr="00E9002A">
        <w:rPr>
          <w:rFonts w:eastAsia="Times New Roman" w:cs="Sylfaen"/>
          <w:noProof w:val="0"/>
        </w:rPr>
        <w:t>სამინისტროს</w:t>
      </w:r>
      <w:proofErr w:type="spellEnd"/>
      <w:r w:rsidRPr="00E9002A">
        <w:rPr>
          <w:rFonts w:eastAsia="Times New Roman" w:cs="Times New Roman"/>
          <w:noProof w:val="0"/>
        </w:rPr>
        <w:t xml:space="preserve"> </w:t>
      </w:r>
      <w:proofErr w:type="spellStart"/>
      <w:r w:rsidRPr="00E9002A">
        <w:rPr>
          <w:rFonts w:eastAsia="Times New Roman" w:cs="Sylfaen"/>
          <w:noProof w:val="0"/>
        </w:rPr>
        <w:t>დარგის</w:t>
      </w:r>
      <w:proofErr w:type="spellEnd"/>
      <w:r w:rsidRPr="00E9002A">
        <w:rPr>
          <w:rFonts w:eastAsia="Times New Roman" w:cs="Times New Roman"/>
          <w:noProof w:val="0"/>
        </w:rPr>
        <w:t xml:space="preserve"> </w:t>
      </w:r>
      <w:proofErr w:type="spellStart"/>
      <w:r w:rsidRPr="00E9002A">
        <w:rPr>
          <w:rFonts w:eastAsia="Times New Roman" w:cs="Sylfaen"/>
          <w:noProof w:val="0"/>
        </w:rPr>
        <w:t>ექსპერტთა</w:t>
      </w:r>
      <w:proofErr w:type="spellEnd"/>
      <w:r w:rsidRPr="00E9002A">
        <w:rPr>
          <w:rFonts w:eastAsia="Times New Roman" w:cs="Times New Roman"/>
          <w:noProof w:val="0"/>
        </w:rPr>
        <w:t xml:space="preserve"> </w:t>
      </w:r>
      <w:proofErr w:type="spellStart"/>
      <w:r w:rsidRPr="00E9002A">
        <w:rPr>
          <w:rFonts w:eastAsia="Times New Roman" w:cs="Sylfaen"/>
          <w:noProof w:val="0"/>
        </w:rPr>
        <w:t>კოორდინაცია</w:t>
      </w:r>
      <w:proofErr w:type="spellEnd"/>
      <w:r w:rsidRPr="00E9002A">
        <w:rPr>
          <w:rFonts w:eastAsia="Times New Roman" w:cs="Sylfaen"/>
          <w:noProof w:val="0"/>
          <w:lang w:val="ka-GE"/>
        </w:rPr>
        <w:t xml:space="preserve"> და </w:t>
      </w:r>
      <w:proofErr w:type="spellStart"/>
      <w:r w:rsidRPr="00E9002A">
        <w:rPr>
          <w:rFonts w:eastAsia="Times New Roman" w:cs="Sylfaen"/>
          <w:noProof w:val="0"/>
        </w:rPr>
        <w:t>მოქალაქეების</w:t>
      </w:r>
      <w:proofErr w:type="spellEnd"/>
      <w:r w:rsidRPr="00E9002A">
        <w:rPr>
          <w:rFonts w:eastAsia="Times New Roman" w:cs="Times New Roman"/>
          <w:noProof w:val="0"/>
        </w:rPr>
        <w:t xml:space="preserve"> </w:t>
      </w:r>
      <w:proofErr w:type="spellStart"/>
      <w:r w:rsidRPr="00E9002A">
        <w:rPr>
          <w:rFonts w:eastAsia="Times New Roman" w:cs="Sylfaen"/>
          <w:noProof w:val="0"/>
        </w:rPr>
        <w:t>კონკრეტული</w:t>
      </w:r>
      <w:proofErr w:type="spellEnd"/>
      <w:r w:rsidRPr="00E9002A">
        <w:rPr>
          <w:rFonts w:eastAsia="Times New Roman" w:cs="Times New Roman"/>
          <w:noProof w:val="0"/>
        </w:rPr>
        <w:t xml:space="preserve"> </w:t>
      </w:r>
      <w:proofErr w:type="spellStart"/>
      <w:r w:rsidRPr="00E9002A">
        <w:rPr>
          <w:rFonts w:eastAsia="Times New Roman" w:cs="Sylfaen"/>
          <w:noProof w:val="0"/>
        </w:rPr>
        <w:t>მოთხოვნების</w:t>
      </w:r>
      <w:proofErr w:type="spellEnd"/>
      <w:r w:rsidRPr="00E9002A">
        <w:rPr>
          <w:rFonts w:eastAsia="Times New Roman" w:cs="Times New Roman"/>
          <w:noProof w:val="0"/>
        </w:rPr>
        <w:t xml:space="preserve"> </w:t>
      </w:r>
      <w:proofErr w:type="spellStart"/>
      <w:r w:rsidRPr="00E9002A">
        <w:rPr>
          <w:rFonts w:eastAsia="Times New Roman" w:cs="Sylfaen"/>
          <w:noProof w:val="0"/>
        </w:rPr>
        <w:t>საფუძველზე</w:t>
      </w:r>
      <w:proofErr w:type="spellEnd"/>
      <w:r w:rsidRPr="00E9002A">
        <w:rPr>
          <w:rFonts w:eastAsia="Times New Roman" w:cs="Times New Roman"/>
          <w:noProof w:val="0"/>
        </w:rPr>
        <w:t xml:space="preserve">, </w:t>
      </w:r>
      <w:proofErr w:type="spellStart"/>
      <w:r w:rsidRPr="00E9002A">
        <w:rPr>
          <w:rFonts w:eastAsia="Times New Roman" w:cs="Sylfaen"/>
          <w:noProof w:val="0"/>
        </w:rPr>
        <w:t>სამინისტროს</w:t>
      </w:r>
      <w:proofErr w:type="spellEnd"/>
      <w:r w:rsidRPr="00E9002A">
        <w:rPr>
          <w:rFonts w:eastAsia="Times New Roman" w:cs="Times New Roman"/>
          <w:noProof w:val="0"/>
        </w:rPr>
        <w:t xml:space="preserve"> </w:t>
      </w:r>
      <w:proofErr w:type="spellStart"/>
      <w:r w:rsidRPr="00E9002A">
        <w:rPr>
          <w:rFonts w:eastAsia="Times New Roman" w:cs="Sylfaen"/>
          <w:noProof w:val="0"/>
        </w:rPr>
        <w:t>ექსპერტებთან</w:t>
      </w:r>
      <w:proofErr w:type="spellEnd"/>
      <w:r w:rsidRPr="00E9002A">
        <w:rPr>
          <w:rFonts w:eastAsia="Times New Roman" w:cs="Times New Roman"/>
          <w:noProof w:val="0"/>
        </w:rPr>
        <w:t xml:space="preserve"> </w:t>
      </w:r>
      <w:proofErr w:type="spellStart"/>
      <w:r w:rsidRPr="00E9002A">
        <w:rPr>
          <w:rFonts w:eastAsia="Times New Roman" w:cs="Sylfaen"/>
          <w:noProof w:val="0"/>
        </w:rPr>
        <w:t>საკონსულტაციო</w:t>
      </w:r>
      <w:proofErr w:type="spellEnd"/>
      <w:r w:rsidRPr="00E9002A">
        <w:rPr>
          <w:rFonts w:eastAsia="Times New Roman" w:cs="Times New Roman"/>
          <w:noProof w:val="0"/>
        </w:rPr>
        <w:t xml:space="preserve"> </w:t>
      </w:r>
      <w:proofErr w:type="spellStart"/>
      <w:r w:rsidRPr="00E9002A">
        <w:rPr>
          <w:rFonts w:eastAsia="Times New Roman" w:cs="Sylfaen"/>
          <w:noProof w:val="0"/>
        </w:rPr>
        <w:t>მიმართვებით</w:t>
      </w:r>
      <w:proofErr w:type="spellEnd"/>
      <w:r w:rsidRPr="00E9002A">
        <w:rPr>
          <w:rFonts w:eastAsia="Times New Roman" w:cs="Times New Roman"/>
          <w:noProof w:val="0"/>
        </w:rPr>
        <w:t xml:space="preserve"> </w:t>
      </w:r>
      <w:proofErr w:type="spellStart"/>
      <w:r w:rsidRPr="00E9002A">
        <w:rPr>
          <w:rFonts w:eastAsia="Times New Roman" w:cs="Sylfaen"/>
          <w:noProof w:val="0"/>
        </w:rPr>
        <w:t>უზრუნველყოფა</w:t>
      </w:r>
      <w:proofErr w:type="spellEnd"/>
      <w:r w:rsidR="009D0F23" w:rsidRPr="00E9002A">
        <w:rPr>
          <w:rFonts w:eastAsia="Times New Roman" w:cs="Sylfaen"/>
          <w:noProof w:val="0"/>
          <w:lang w:val="ka-GE"/>
        </w:rPr>
        <w:t xml:space="preserve"> ხორციელდება სისტემატურად/რუტინულად</w:t>
      </w:r>
      <w:r w:rsidRPr="00E9002A">
        <w:rPr>
          <w:rFonts w:eastAsia="Times New Roman" w:cs="Sylfaen"/>
          <w:noProof w:val="0"/>
          <w:lang w:val="ka-GE"/>
        </w:rPr>
        <w:t>;</w:t>
      </w:r>
    </w:p>
    <w:p w:rsidR="006D0058" w:rsidRPr="00E9002A" w:rsidRDefault="006D0058" w:rsidP="009D0F23">
      <w:pPr>
        <w:pStyle w:val="ListParagraph"/>
        <w:numPr>
          <w:ilvl w:val="0"/>
          <w:numId w:val="2"/>
        </w:numPr>
        <w:spacing w:after="0" w:line="240" w:lineRule="auto"/>
        <w:jc w:val="both"/>
        <w:rPr>
          <w:rFonts w:eastAsia="Times New Roman" w:cs="Times New Roman"/>
          <w:noProof w:val="0"/>
        </w:rPr>
      </w:pPr>
      <w:proofErr w:type="spellStart"/>
      <w:r w:rsidRPr="00E9002A">
        <w:rPr>
          <w:rFonts w:eastAsia="Times New Roman" w:cs="Sylfaen"/>
          <w:noProof w:val="0"/>
        </w:rPr>
        <w:t>სსიპ</w:t>
      </w:r>
      <w:proofErr w:type="spellEnd"/>
      <w:r w:rsidRPr="00E9002A">
        <w:rPr>
          <w:rFonts w:eastAsia="Times New Roman" w:cs="Times New Roman"/>
          <w:noProof w:val="0"/>
        </w:rPr>
        <w:t xml:space="preserve"> „</w:t>
      </w:r>
      <w:proofErr w:type="spellStart"/>
      <w:r w:rsidRPr="00E9002A">
        <w:rPr>
          <w:rFonts w:eastAsia="Times New Roman" w:cs="Sylfaen"/>
          <w:noProof w:val="0"/>
        </w:rPr>
        <w:t>ლევან</w:t>
      </w:r>
      <w:proofErr w:type="spellEnd"/>
      <w:r w:rsidRPr="00E9002A">
        <w:rPr>
          <w:rFonts w:eastAsia="Times New Roman" w:cs="Times New Roman"/>
          <w:noProof w:val="0"/>
        </w:rPr>
        <w:t xml:space="preserve"> </w:t>
      </w:r>
      <w:proofErr w:type="spellStart"/>
      <w:r w:rsidRPr="00E9002A">
        <w:rPr>
          <w:rFonts w:eastAsia="Times New Roman" w:cs="Sylfaen"/>
          <w:noProof w:val="0"/>
        </w:rPr>
        <w:t>სამხარაულის</w:t>
      </w:r>
      <w:proofErr w:type="spellEnd"/>
      <w:r w:rsidRPr="00E9002A">
        <w:rPr>
          <w:rFonts w:eastAsia="Times New Roman" w:cs="Times New Roman"/>
          <w:noProof w:val="0"/>
        </w:rPr>
        <w:t xml:space="preserve"> </w:t>
      </w:r>
      <w:proofErr w:type="spellStart"/>
      <w:r w:rsidRPr="00E9002A">
        <w:rPr>
          <w:rFonts w:eastAsia="Times New Roman" w:cs="Sylfaen"/>
          <w:noProof w:val="0"/>
        </w:rPr>
        <w:t>სახელობის</w:t>
      </w:r>
      <w:proofErr w:type="spellEnd"/>
      <w:r w:rsidRPr="00E9002A">
        <w:rPr>
          <w:rFonts w:eastAsia="Times New Roman" w:cs="Times New Roman"/>
          <w:noProof w:val="0"/>
        </w:rPr>
        <w:t xml:space="preserve"> </w:t>
      </w:r>
      <w:proofErr w:type="spellStart"/>
      <w:r w:rsidRPr="00E9002A">
        <w:rPr>
          <w:rFonts w:eastAsia="Times New Roman" w:cs="Sylfaen"/>
          <w:noProof w:val="0"/>
        </w:rPr>
        <w:t>სასამართლო</w:t>
      </w:r>
      <w:proofErr w:type="spellEnd"/>
      <w:r w:rsidRPr="00E9002A">
        <w:rPr>
          <w:rFonts w:eastAsia="Times New Roman" w:cs="Times New Roman"/>
          <w:noProof w:val="0"/>
        </w:rPr>
        <w:t xml:space="preserve"> </w:t>
      </w:r>
      <w:proofErr w:type="spellStart"/>
      <w:r w:rsidRPr="00E9002A">
        <w:rPr>
          <w:rFonts w:eastAsia="Times New Roman" w:cs="Sylfaen"/>
          <w:noProof w:val="0"/>
        </w:rPr>
        <w:t>ექსპერტიზის</w:t>
      </w:r>
      <w:proofErr w:type="spellEnd"/>
      <w:r w:rsidRPr="00E9002A">
        <w:rPr>
          <w:rFonts w:eastAsia="Times New Roman" w:cs="Times New Roman"/>
          <w:noProof w:val="0"/>
        </w:rPr>
        <w:t xml:space="preserve"> </w:t>
      </w:r>
      <w:proofErr w:type="spellStart"/>
      <w:r w:rsidRPr="00E9002A">
        <w:rPr>
          <w:rFonts w:eastAsia="Times New Roman" w:cs="Sylfaen"/>
          <w:noProof w:val="0"/>
        </w:rPr>
        <w:t>ეროვნული</w:t>
      </w:r>
      <w:proofErr w:type="spellEnd"/>
      <w:r w:rsidRPr="00E9002A">
        <w:rPr>
          <w:rFonts w:eastAsia="Times New Roman" w:cs="Times New Roman"/>
          <w:noProof w:val="0"/>
        </w:rPr>
        <w:t xml:space="preserve"> </w:t>
      </w:r>
      <w:proofErr w:type="spellStart"/>
      <w:r w:rsidRPr="00E9002A">
        <w:rPr>
          <w:rFonts w:eastAsia="Times New Roman" w:cs="Sylfaen"/>
          <w:noProof w:val="0"/>
        </w:rPr>
        <w:t>ბიუროს</w:t>
      </w:r>
      <w:proofErr w:type="spellEnd"/>
      <w:r w:rsidRPr="00E9002A">
        <w:rPr>
          <w:rFonts w:eastAsia="Times New Roman" w:cs="Times New Roman"/>
          <w:noProof w:val="0"/>
        </w:rPr>
        <w:t xml:space="preserve"> </w:t>
      </w:r>
      <w:proofErr w:type="spellStart"/>
      <w:r w:rsidRPr="00E9002A">
        <w:rPr>
          <w:rFonts w:eastAsia="Times New Roman" w:cs="Sylfaen"/>
          <w:noProof w:val="0"/>
        </w:rPr>
        <w:t>სამედიცინო</w:t>
      </w:r>
      <w:proofErr w:type="spellEnd"/>
      <w:r w:rsidRPr="00E9002A">
        <w:rPr>
          <w:rFonts w:eastAsia="Times New Roman" w:cs="Times New Roman"/>
          <w:noProof w:val="0"/>
        </w:rPr>
        <w:t xml:space="preserve"> </w:t>
      </w:r>
      <w:proofErr w:type="spellStart"/>
      <w:r w:rsidRPr="00E9002A">
        <w:rPr>
          <w:rFonts w:eastAsia="Times New Roman" w:cs="Sylfaen"/>
          <w:noProof w:val="0"/>
        </w:rPr>
        <w:t>ექსპერტიზის</w:t>
      </w:r>
      <w:proofErr w:type="spellEnd"/>
      <w:r w:rsidRPr="00E9002A">
        <w:rPr>
          <w:rFonts w:eastAsia="Times New Roman" w:cs="Times New Roman"/>
          <w:noProof w:val="0"/>
        </w:rPr>
        <w:t xml:space="preserve"> </w:t>
      </w:r>
      <w:proofErr w:type="spellStart"/>
      <w:r w:rsidRPr="00E9002A">
        <w:rPr>
          <w:rFonts w:eastAsia="Times New Roman" w:cs="Sylfaen"/>
          <w:noProof w:val="0"/>
        </w:rPr>
        <w:t>დეპარტამენტში</w:t>
      </w:r>
      <w:proofErr w:type="spellEnd"/>
      <w:r w:rsidRPr="00E9002A">
        <w:rPr>
          <w:rFonts w:eastAsia="Times New Roman" w:cs="Times New Roman"/>
          <w:noProof w:val="0"/>
        </w:rPr>
        <w:t xml:space="preserve"> </w:t>
      </w:r>
      <w:proofErr w:type="spellStart"/>
      <w:r w:rsidRPr="00E9002A">
        <w:rPr>
          <w:rFonts w:eastAsia="Times New Roman" w:cs="Sylfaen"/>
          <w:noProof w:val="0"/>
        </w:rPr>
        <w:t>დანიშნული</w:t>
      </w:r>
      <w:proofErr w:type="spellEnd"/>
      <w:r w:rsidRPr="00E9002A">
        <w:rPr>
          <w:rFonts w:eastAsia="Times New Roman" w:cs="Times New Roman"/>
          <w:noProof w:val="0"/>
        </w:rPr>
        <w:t xml:space="preserve"> </w:t>
      </w:r>
      <w:proofErr w:type="spellStart"/>
      <w:r w:rsidRPr="00E9002A">
        <w:rPr>
          <w:rFonts w:eastAsia="Times New Roman" w:cs="Sylfaen"/>
          <w:noProof w:val="0"/>
        </w:rPr>
        <w:t>ექსპერტიზების</w:t>
      </w:r>
      <w:proofErr w:type="spellEnd"/>
      <w:r w:rsidRPr="00E9002A">
        <w:rPr>
          <w:rFonts w:eastAsia="Times New Roman" w:cs="Times New Roman"/>
          <w:noProof w:val="0"/>
        </w:rPr>
        <w:t xml:space="preserve"> </w:t>
      </w:r>
      <w:proofErr w:type="spellStart"/>
      <w:r w:rsidRPr="00E9002A">
        <w:rPr>
          <w:rFonts w:eastAsia="Times New Roman" w:cs="Sylfaen"/>
          <w:noProof w:val="0"/>
        </w:rPr>
        <w:t>წარმოებისთვის</w:t>
      </w:r>
      <w:proofErr w:type="spellEnd"/>
      <w:r w:rsidRPr="00E9002A">
        <w:rPr>
          <w:rFonts w:eastAsia="Times New Roman" w:cs="Times New Roman"/>
          <w:noProof w:val="0"/>
        </w:rPr>
        <w:t xml:space="preserve">, </w:t>
      </w:r>
      <w:proofErr w:type="spellStart"/>
      <w:r w:rsidRPr="00E9002A">
        <w:rPr>
          <w:rFonts w:eastAsia="Times New Roman" w:cs="Sylfaen"/>
          <w:noProof w:val="0"/>
        </w:rPr>
        <w:t>შემოსული</w:t>
      </w:r>
      <w:proofErr w:type="spellEnd"/>
      <w:r w:rsidRPr="00E9002A">
        <w:rPr>
          <w:rFonts w:eastAsia="Times New Roman" w:cs="Times New Roman"/>
          <w:noProof w:val="0"/>
        </w:rPr>
        <w:t xml:space="preserve"> </w:t>
      </w:r>
      <w:proofErr w:type="spellStart"/>
      <w:r w:rsidRPr="00E9002A">
        <w:rPr>
          <w:rFonts w:eastAsia="Times New Roman" w:cs="Sylfaen"/>
          <w:noProof w:val="0"/>
        </w:rPr>
        <w:t>დოკუმენტაციის</w:t>
      </w:r>
      <w:proofErr w:type="spellEnd"/>
      <w:r w:rsidRPr="00E9002A">
        <w:rPr>
          <w:rFonts w:eastAsia="Times New Roman" w:cs="Times New Roman"/>
          <w:noProof w:val="0"/>
        </w:rPr>
        <w:t xml:space="preserve"> </w:t>
      </w:r>
      <w:proofErr w:type="spellStart"/>
      <w:r w:rsidRPr="00E9002A">
        <w:rPr>
          <w:rFonts w:eastAsia="Times New Roman" w:cs="Sylfaen"/>
          <w:noProof w:val="0"/>
        </w:rPr>
        <w:t>საფუძველზე</w:t>
      </w:r>
      <w:proofErr w:type="spellEnd"/>
      <w:r w:rsidRPr="00E9002A">
        <w:rPr>
          <w:rFonts w:eastAsia="Times New Roman" w:cs="Times New Roman"/>
          <w:noProof w:val="0"/>
        </w:rPr>
        <w:t xml:space="preserve">, </w:t>
      </w:r>
      <w:proofErr w:type="spellStart"/>
      <w:r w:rsidRPr="00E9002A">
        <w:rPr>
          <w:rFonts w:eastAsia="Times New Roman" w:cs="Sylfaen"/>
          <w:noProof w:val="0"/>
        </w:rPr>
        <w:t>შესაბამისი</w:t>
      </w:r>
      <w:proofErr w:type="spellEnd"/>
      <w:r w:rsidRPr="00E9002A">
        <w:rPr>
          <w:rFonts w:eastAsia="Times New Roman" w:cs="Times New Roman"/>
          <w:noProof w:val="0"/>
        </w:rPr>
        <w:t xml:space="preserve"> </w:t>
      </w:r>
      <w:proofErr w:type="spellStart"/>
      <w:r w:rsidRPr="00E9002A">
        <w:rPr>
          <w:rFonts w:eastAsia="Times New Roman" w:cs="Sylfaen"/>
          <w:noProof w:val="0"/>
        </w:rPr>
        <w:t>სამინისტროს</w:t>
      </w:r>
      <w:proofErr w:type="spellEnd"/>
      <w:r w:rsidRPr="00E9002A">
        <w:rPr>
          <w:rFonts w:eastAsia="Times New Roman" w:cs="Times New Roman"/>
          <w:noProof w:val="0"/>
        </w:rPr>
        <w:t xml:space="preserve"> </w:t>
      </w:r>
      <w:proofErr w:type="spellStart"/>
      <w:r w:rsidRPr="00E9002A">
        <w:rPr>
          <w:rFonts w:eastAsia="Times New Roman" w:cs="Sylfaen"/>
          <w:noProof w:val="0"/>
        </w:rPr>
        <w:t>ექსპერტის</w:t>
      </w:r>
      <w:proofErr w:type="spellEnd"/>
      <w:r w:rsidRPr="00E9002A">
        <w:rPr>
          <w:rFonts w:eastAsia="Times New Roman" w:cs="Times New Roman"/>
          <w:noProof w:val="0"/>
        </w:rPr>
        <w:t xml:space="preserve"> </w:t>
      </w:r>
      <w:proofErr w:type="spellStart"/>
      <w:r w:rsidRPr="00E9002A">
        <w:rPr>
          <w:rFonts w:eastAsia="Times New Roman" w:cs="Sylfaen"/>
          <w:noProof w:val="0"/>
        </w:rPr>
        <w:t>გამოყოფის</w:t>
      </w:r>
      <w:proofErr w:type="spellEnd"/>
      <w:r w:rsidRPr="00E9002A">
        <w:rPr>
          <w:rFonts w:eastAsia="Times New Roman" w:cs="Times New Roman"/>
          <w:noProof w:val="0"/>
        </w:rPr>
        <w:t xml:space="preserve"> </w:t>
      </w:r>
      <w:proofErr w:type="spellStart"/>
      <w:r w:rsidRPr="00E9002A">
        <w:rPr>
          <w:rFonts w:eastAsia="Times New Roman" w:cs="Sylfaen"/>
          <w:noProof w:val="0"/>
        </w:rPr>
        <w:t>უზრუნველყოფა</w:t>
      </w:r>
      <w:proofErr w:type="spellEnd"/>
      <w:r w:rsidR="009D0F23" w:rsidRPr="00E9002A">
        <w:rPr>
          <w:rFonts w:eastAsia="Times New Roman" w:cs="Sylfaen"/>
          <w:noProof w:val="0"/>
          <w:lang w:val="ka-GE"/>
        </w:rPr>
        <w:t xml:space="preserve"> ხორციელდება სისტემატურად/რუტინულად;</w:t>
      </w:r>
    </w:p>
    <w:p w:rsidR="00D7501D" w:rsidRPr="00E9002A" w:rsidRDefault="006D0058" w:rsidP="009D0F23">
      <w:pPr>
        <w:pStyle w:val="ListParagraph"/>
        <w:numPr>
          <w:ilvl w:val="0"/>
          <w:numId w:val="2"/>
        </w:numPr>
        <w:jc w:val="both"/>
        <w:rPr>
          <w:lang w:val="ka-GE"/>
        </w:rPr>
      </w:pPr>
      <w:r w:rsidRPr="00E9002A">
        <w:rPr>
          <w:lang w:val="ka-GE"/>
        </w:rPr>
        <w:t>„დედათა და ბავშვთა სიკვდილობის/მკვდრადშობადობის შემთხვევების სავალდებულო შეტყობინების ფორმისა და წესის შესახებ“ საქართველოს შრომის, ჯანმრთელობისა და სოციალური დაცვის მინისტრის 2013 წლის 23 ივლისის N01-30/ნ ბრძანების მოთხოვნათა შესრულებაზე მონიტორინგი</w:t>
      </w:r>
      <w:r w:rsidR="009D0F23" w:rsidRPr="00E9002A">
        <w:rPr>
          <w:lang w:val="ka-GE"/>
        </w:rPr>
        <w:t xml:space="preserve"> </w:t>
      </w:r>
      <w:r w:rsidR="009D0F23" w:rsidRPr="00E9002A">
        <w:rPr>
          <w:rFonts w:eastAsia="Times New Roman" w:cs="Sylfaen"/>
          <w:noProof w:val="0"/>
          <w:lang w:val="ka-GE"/>
        </w:rPr>
        <w:t>ხორციელდება სისტემატურად/რუტინულად;</w:t>
      </w:r>
    </w:p>
    <w:p w:rsidR="00E9002A" w:rsidRPr="0078177E" w:rsidRDefault="00E9002A" w:rsidP="009D0F23">
      <w:pPr>
        <w:pStyle w:val="ListParagraph"/>
        <w:numPr>
          <w:ilvl w:val="0"/>
          <w:numId w:val="2"/>
        </w:numPr>
        <w:jc w:val="both"/>
        <w:rPr>
          <w:lang w:val="ka-GE"/>
        </w:rPr>
      </w:pPr>
      <w:r>
        <w:rPr>
          <w:rFonts w:eastAsia="Times New Roman" w:cs="Sylfaen"/>
          <w:noProof w:val="0"/>
          <w:lang w:val="ka-GE"/>
        </w:rPr>
        <w:t>შემოსულ კორესპონდენციაზე მუშაობა ხორციელდება სისტემატურად/რუტინულად.</w:t>
      </w:r>
    </w:p>
    <w:p w:rsidR="0078177E" w:rsidRPr="0015402C" w:rsidRDefault="0078177E" w:rsidP="0015402C">
      <w:pPr>
        <w:jc w:val="center"/>
        <w:rPr>
          <w:b/>
          <w:lang w:val="ka-GE"/>
        </w:rPr>
      </w:pPr>
    </w:p>
    <w:p w:rsidR="0078177E" w:rsidRDefault="0078177E" w:rsidP="0015402C">
      <w:pPr>
        <w:jc w:val="center"/>
        <w:rPr>
          <w:b/>
          <w:lang w:val="ka-GE"/>
        </w:rPr>
      </w:pPr>
      <w:r w:rsidRPr="0015402C">
        <w:rPr>
          <w:b/>
          <w:lang w:val="ka-GE"/>
        </w:rPr>
        <w:t>პოლიტიკის სამმართველო</w:t>
      </w:r>
    </w:p>
    <w:p w:rsidR="0015402C" w:rsidRPr="0015402C" w:rsidRDefault="0015402C" w:rsidP="0015402C">
      <w:pPr>
        <w:jc w:val="center"/>
        <w:rPr>
          <w:b/>
          <w:lang w:val="ka-GE"/>
        </w:rPr>
      </w:pPr>
    </w:p>
    <w:p w:rsidR="0078177E" w:rsidRPr="0015402C" w:rsidRDefault="0078177E" w:rsidP="0015402C">
      <w:pPr>
        <w:pStyle w:val="ListParagraph"/>
        <w:numPr>
          <w:ilvl w:val="0"/>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 xml:space="preserve">ჯანმრთელობის დაცვის სისტემის განვითარების სტრატეგიის შემუშავების კოორდინაცია: </w:t>
      </w:r>
    </w:p>
    <w:p w:rsidR="0078177E" w:rsidRPr="0015402C" w:rsidRDefault="0078177E" w:rsidP="0015402C">
      <w:pPr>
        <w:pStyle w:val="ListParagraph"/>
        <w:numPr>
          <w:ilvl w:val="1"/>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მომზადდა არსებული სიტუაციის ანალიზი და მომავალი სამიზნე მიმართულებების ხედვა</w:t>
      </w:r>
    </w:p>
    <w:p w:rsidR="0078177E" w:rsidRPr="0015402C" w:rsidRDefault="0078177E" w:rsidP="0015402C">
      <w:pPr>
        <w:pStyle w:val="ListParagraph"/>
        <w:numPr>
          <w:ilvl w:val="1"/>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ევრო კავშირის ტექნიკური დახმარებით, წლის ბოლომდე ბოლომდე მომზადდება სტრატეგიის პირველი სამუშაო ვერსია</w:t>
      </w:r>
    </w:p>
    <w:p w:rsidR="0078177E" w:rsidRPr="0015402C" w:rsidRDefault="0078177E" w:rsidP="0015402C">
      <w:pPr>
        <w:pStyle w:val="ListParagraph"/>
        <w:numPr>
          <w:ilvl w:val="0"/>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სექტორული სტრატეგიული გეგმების შემუშავების, მონიტორინგის, შეფასების პროცესის კოორდინაცია:</w:t>
      </w:r>
    </w:p>
    <w:p w:rsidR="0078177E" w:rsidRPr="0015402C" w:rsidRDefault="0078177E" w:rsidP="0015402C">
      <w:pPr>
        <w:pStyle w:val="ListParagraph"/>
        <w:numPr>
          <w:ilvl w:val="1"/>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lastRenderedPageBreak/>
        <w:t>მომზადდა აივ/შიდსის, ტუბერკულოზის, სტრატეგიული შესყიდვების სისტემის დანერგვის სტარტეგიის პროექტები (ქართულ და ინგლისურ ენებზე); მდგრადი განვითარების მიზნების დანერგვის ხელშეწყობის სტრატეგია</w:t>
      </w:r>
    </w:p>
    <w:p w:rsidR="0078177E" w:rsidRPr="0015402C" w:rsidRDefault="0078177E" w:rsidP="0015402C">
      <w:pPr>
        <w:pStyle w:val="ListParagraph"/>
        <w:numPr>
          <w:ilvl w:val="1"/>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მომზადდა C ჰეპატიტის ელიმინაციის მონიტორინგის (ინგლისურ ენაზე) და შეფასების ანგარიში (ქართულ და ინგლისურ ენებზე); დაბერების სტრატეგიის შესრულების მონიტორინგის ანგარიში</w:t>
      </w:r>
    </w:p>
    <w:p w:rsidR="0078177E" w:rsidRPr="0015402C" w:rsidRDefault="0078177E" w:rsidP="0015402C">
      <w:pPr>
        <w:pStyle w:val="ListParagraph"/>
        <w:numPr>
          <w:ilvl w:val="0"/>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სხვადასხვა სახელმწიფო უწყებების სტრატეგიების, საერთაშორისო ვალდებულებების შესრულების ანალიტიკური ანგარიშების მომზადება</w:t>
      </w:r>
    </w:p>
    <w:p w:rsidR="0078177E" w:rsidRPr="0015402C" w:rsidRDefault="0078177E" w:rsidP="0015402C">
      <w:pPr>
        <w:pStyle w:val="ListParagraph"/>
        <w:numPr>
          <w:ilvl w:val="1"/>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მდგრადი განვითარების სამიზნეების, ევროასოცირებით ნაკისრი ვალდებულებების, ადამიანის უფლებების სტარტეგიების შესრულების ანგარიშები; სახალხო დამცველის რეკომენდაციის შესრულების ანგარიშები და ა.შ.</w:t>
      </w:r>
    </w:p>
    <w:p w:rsidR="0078177E" w:rsidRPr="0015402C" w:rsidRDefault="0078177E" w:rsidP="0015402C">
      <w:pPr>
        <w:pStyle w:val="ListParagraph"/>
        <w:numPr>
          <w:ilvl w:val="0"/>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სტრატეგიული შესყიდვების სისტემის დანერგვის სტრატეგიის შემუშავებაში მონაწილეობა</w:t>
      </w:r>
    </w:p>
    <w:p w:rsidR="0078177E" w:rsidRPr="0015402C" w:rsidRDefault="0078177E" w:rsidP="0015402C">
      <w:pPr>
        <w:pStyle w:val="ListParagraph"/>
        <w:numPr>
          <w:ilvl w:val="1"/>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მომზადდა სტრატეგიული შესყიდვების სისტემის დანერგვის სტრატეგიის პროექტი და სამოქმედო გეგმა</w:t>
      </w:r>
    </w:p>
    <w:p w:rsidR="0078177E" w:rsidRPr="0015402C" w:rsidRDefault="0078177E" w:rsidP="0015402C">
      <w:pPr>
        <w:pStyle w:val="ListParagraph"/>
        <w:numPr>
          <w:ilvl w:val="1"/>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მომზადდა სოციალური მომსახურების სააგენტოს ჯანდაცვის მიმართულების სტრუქტურა; სამუშაოთა აღწერილობა; მიმდინარეობს მუშაობა ტიპიური კონტრაქტისა და სელექციის კრიტერიუმების შემუშავებაზე</w:t>
      </w:r>
    </w:p>
    <w:p w:rsidR="0078177E" w:rsidRPr="0015402C" w:rsidRDefault="0078177E" w:rsidP="0015402C">
      <w:pPr>
        <w:pStyle w:val="ListParagraph"/>
        <w:numPr>
          <w:ilvl w:val="0"/>
          <w:numId w:val="3"/>
        </w:numPr>
        <w:tabs>
          <w:tab w:val="left" w:pos="180"/>
        </w:tabs>
        <w:spacing w:after="200" w:line="276" w:lineRule="auto"/>
        <w:ind w:firstLine="0"/>
        <w:rPr>
          <w:rFonts w:eastAsia="Times New Roman" w:cs="Sylfaen"/>
          <w:noProof w:val="0"/>
          <w:lang w:val="ka-GE"/>
        </w:rPr>
      </w:pPr>
      <w:r w:rsidRPr="0015402C">
        <w:rPr>
          <w:rFonts w:eastAsia="Times New Roman" w:cs="Sylfaen"/>
          <w:noProof w:val="0"/>
          <w:lang w:val="ka-GE"/>
        </w:rPr>
        <w:t>დიაგნოზთან შეჭიდული ჯგუფების (DRG)  დანერგვის პროცესში მონაწილეობა</w:t>
      </w:r>
    </w:p>
    <w:p w:rsidR="0078177E" w:rsidRPr="0015402C" w:rsidRDefault="0078177E" w:rsidP="0015402C">
      <w:pPr>
        <w:pStyle w:val="ListParagraph"/>
        <w:numPr>
          <w:ilvl w:val="1"/>
          <w:numId w:val="3"/>
        </w:numPr>
        <w:tabs>
          <w:tab w:val="left" w:pos="180"/>
        </w:tabs>
        <w:spacing w:after="200" w:line="276" w:lineRule="auto"/>
        <w:ind w:firstLine="0"/>
        <w:rPr>
          <w:rFonts w:eastAsia="Times New Roman" w:cs="Sylfaen"/>
          <w:noProof w:val="0"/>
          <w:lang w:val="ka-GE"/>
        </w:rPr>
      </w:pPr>
      <w:r w:rsidRPr="0015402C">
        <w:rPr>
          <w:rFonts w:eastAsia="Times New Roman" w:cs="Sylfaen"/>
          <w:noProof w:val="0"/>
          <w:lang w:val="ka-GE"/>
        </w:rPr>
        <w:t>მომზადდა DRG-ის დანერგვის სამოქმედო გეგმა</w:t>
      </w:r>
    </w:p>
    <w:p w:rsidR="0078177E" w:rsidRPr="0015402C" w:rsidRDefault="0078177E" w:rsidP="0015402C">
      <w:pPr>
        <w:pStyle w:val="ListParagraph"/>
        <w:numPr>
          <w:ilvl w:val="1"/>
          <w:numId w:val="3"/>
        </w:numPr>
        <w:tabs>
          <w:tab w:val="left" w:pos="180"/>
        </w:tabs>
        <w:spacing w:after="200" w:line="276" w:lineRule="auto"/>
        <w:ind w:firstLine="0"/>
        <w:rPr>
          <w:rFonts w:eastAsia="Times New Roman" w:cs="Sylfaen"/>
          <w:noProof w:val="0"/>
          <w:lang w:val="ka-GE"/>
        </w:rPr>
      </w:pPr>
      <w:r w:rsidRPr="0015402C">
        <w:rPr>
          <w:rFonts w:eastAsia="Times New Roman" w:cs="Sylfaen"/>
          <w:noProof w:val="0"/>
          <w:lang w:val="ka-GE"/>
        </w:rPr>
        <w:t>შეძენილ იქნა DRG-ის გამოყენების ლიცენზია და დაჯგუფების ლოგიკის პროგრამული უზრუნველყოფა; განხორციელედა პროგრამული უზრუნველყოფის ინტეგრაცია საყოველთაო ჯანდაცვის პროგრამის ელექტრონულ ბაზებთან; მომზადდა ინსტრუმენტი პილოტირების დასაწყებად; მომზადდა საკომუნიკაციო კამპანიის გეგმა</w:t>
      </w:r>
    </w:p>
    <w:p w:rsidR="0078177E" w:rsidRPr="0015402C" w:rsidRDefault="0078177E" w:rsidP="0015402C">
      <w:pPr>
        <w:pStyle w:val="ListParagraph"/>
        <w:numPr>
          <w:ilvl w:val="0"/>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ჯანმრთელობის დაცვის სფეროში სახელმწიფო პოლიტიკის შეფასების უმთავრესი ინსტრუმენტების მომზადება</w:t>
      </w:r>
    </w:p>
    <w:p w:rsidR="0078177E" w:rsidRPr="0015402C" w:rsidRDefault="0078177E" w:rsidP="0015402C">
      <w:pPr>
        <w:pStyle w:val="ListParagraph"/>
        <w:numPr>
          <w:ilvl w:val="1"/>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მომზადდა 2017 წლის ეროვნული ანგარიში და 2016-2017 წლების ეროვნული მოხსენება (მზადდება საბოლოო ვერსია ვებ-გვერდზე გამოსაქვეყნებლად). მიმდინარეობს მუშაობა ჯანდაცვის სისტემის ეფექტიანობის შეფასების დოკუმენტის შემუშავებაზე</w:t>
      </w:r>
    </w:p>
    <w:p w:rsidR="0078177E" w:rsidRPr="0015402C" w:rsidRDefault="0078177E" w:rsidP="0015402C">
      <w:pPr>
        <w:pStyle w:val="ListParagraph"/>
        <w:numPr>
          <w:ilvl w:val="0"/>
          <w:numId w:val="3"/>
        </w:numPr>
        <w:tabs>
          <w:tab w:val="left" w:pos="180"/>
        </w:tabs>
        <w:spacing w:after="200" w:line="276" w:lineRule="auto"/>
        <w:ind w:firstLine="0"/>
        <w:rPr>
          <w:rFonts w:eastAsia="Times New Roman" w:cs="Sylfaen"/>
          <w:noProof w:val="0"/>
          <w:lang w:val="ka-GE"/>
        </w:rPr>
      </w:pPr>
      <w:r w:rsidRPr="0015402C">
        <w:rPr>
          <w:rFonts w:eastAsia="Times New Roman" w:cs="Sylfaen"/>
          <w:noProof w:val="0"/>
          <w:lang w:val="ka-GE"/>
        </w:rPr>
        <w:t xml:space="preserve">უსაფრთხო სისხლთან დაკავშირებული ეროვნული კანონმდებლობის ევროკავშირის კანონმდებლობასთან ჰარმონაზაცია: </w:t>
      </w:r>
    </w:p>
    <w:p w:rsidR="0078177E" w:rsidRPr="0015402C" w:rsidRDefault="0078177E" w:rsidP="0015402C">
      <w:pPr>
        <w:pStyle w:val="ListParagraph"/>
        <w:numPr>
          <w:ilvl w:val="1"/>
          <w:numId w:val="3"/>
        </w:numPr>
        <w:tabs>
          <w:tab w:val="left" w:pos="180"/>
        </w:tabs>
        <w:spacing w:after="200" w:line="276" w:lineRule="auto"/>
        <w:ind w:firstLine="0"/>
        <w:rPr>
          <w:rFonts w:eastAsia="Times New Roman" w:cs="Sylfaen"/>
          <w:noProof w:val="0"/>
          <w:lang w:val="ka-GE"/>
        </w:rPr>
      </w:pPr>
      <w:r w:rsidRPr="0015402C">
        <w:rPr>
          <w:rFonts w:eastAsia="Times New Roman" w:cs="Sylfaen"/>
          <w:noProof w:val="0"/>
          <w:lang w:val="ka-GE"/>
        </w:rPr>
        <w:t>მომზადდა უსაფრთხო სისხლის შესახებ ეროვნული კანონის პროექტის პირველი სამუშაო ვერსია, მიმდინარეობს მისი ფორმატის და შინაარსის დახვეწის სამუშაოები;</w:t>
      </w:r>
    </w:p>
    <w:p w:rsidR="0078177E" w:rsidRPr="0015402C" w:rsidRDefault="0078177E" w:rsidP="0015402C">
      <w:pPr>
        <w:pStyle w:val="ListParagraph"/>
        <w:numPr>
          <w:ilvl w:val="1"/>
          <w:numId w:val="3"/>
        </w:numPr>
        <w:tabs>
          <w:tab w:val="left" w:pos="180"/>
        </w:tabs>
        <w:spacing w:after="200" w:line="276" w:lineRule="auto"/>
        <w:ind w:firstLine="0"/>
        <w:rPr>
          <w:rFonts w:eastAsia="Times New Roman" w:cs="Sylfaen"/>
          <w:noProof w:val="0"/>
          <w:lang w:val="ka-GE"/>
        </w:rPr>
      </w:pPr>
      <w:r w:rsidRPr="0015402C">
        <w:rPr>
          <w:rFonts w:eastAsia="Times New Roman" w:cs="Sylfaen"/>
          <w:noProof w:val="0"/>
          <w:lang w:val="ka-GE"/>
        </w:rPr>
        <w:t>დაიწყო მუშაობა სისხლის სამსახურის ეროვნული სტანდარტებაზე</w:t>
      </w:r>
    </w:p>
    <w:p w:rsidR="0078177E" w:rsidRPr="0015402C" w:rsidRDefault="0078177E" w:rsidP="0015402C">
      <w:pPr>
        <w:pStyle w:val="ListParagraph"/>
        <w:numPr>
          <w:ilvl w:val="0"/>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სიკვდილიანობისა და მკვდრადშობადობის მონიტორინგის კოორდინაცია და „ორსულთა და ახალშობილთა ჯანმრთელობის მეთვალყურეობის რეგისტრის“, მკვდრადშობადობის ბაზის და რუტინული სტატისტიკით მიღებული მონაცემების შეჯერება (რუტინული, ყოველდღიურად); პერინატალური აუდიტის საბჭოს ჩატარების კოორდინაცია (ყოველთვიურად)</w:t>
      </w:r>
    </w:p>
    <w:p w:rsidR="0078177E" w:rsidRPr="0015402C" w:rsidRDefault="0078177E" w:rsidP="0015402C">
      <w:pPr>
        <w:pStyle w:val="ListParagraph"/>
        <w:numPr>
          <w:ilvl w:val="0"/>
          <w:numId w:val="3"/>
        </w:numPr>
        <w:tabs>
          <w:tab w:val="left" w:pos="180"/>
        </w:tabs>
        <w:spacing w:after="200" w:line="276" w:lineRule="auto"/>
        <w:ind w:firstLine="0"/>
        <w:jc w:val="both"/>
        <w:rPr>
          <w:rFonts w:eastAsia="Times New Roman" w:cs="Sylfaen"/>
          <w:noProof w:val="0"/>
          <w:lang w:val="ka-GE"/>
        </w:rPr>
      </w:pPr>
      <w:r w:rsidRPr="0015402C">
        <w:rPr>
          <w:rFonts w:eastAsia="Times New Roman" w:cs="Sylfaen"/>
          <w:noProof w:val="0"/>
          <w:lang w:val="ka-GE"/>
        </w:rPr>
        <w:t>ინფრასტრუქტურულ პროექტებზე მუშაობა: ა) ნასყიდობის ხელშეკრულებებით ნაკისრი ვალდებულებების შესრულების დადასტურება; ბ) სხვადასხვა მუნიციპალიტეტებში მდებარე ქონებების განკარგვის საკითხებზე მუშაობა; გ) უწვებათაშორისი კომისიის სხდომისთვის საქმიანიობის უზრუნველყოფა (რუტინული, ყოველდიურად)</w:t>
      </w:r>
    </w:p>
    <w:p w:rsidR="0078177E" w:rsidRPr="0015402C" w:rsidRDefault="0078177E" w:rsidP="0078177E">
      <w:pPr>
        <w:pStyle w:val="ListParagraph"/>
        <w:ind w:left="360"/>
        <w:jc w:val="both"/>
        <w:rPr>
          <w:rFonts w:eastAsia="Times New Roman" w:cs="Sylfaen"/>
          <w:noProof w:val="0"/>
          <w:lang w:val="ka-GE"/>
        </w:rPr>
      </w:pPr>
    </w:p>
    <w:p w:rsidR="0078177E" w:rsidRPr="0054729D" w:rsidRDefault="0078177E" w:rsidP="0078177E">
      <w:pPr>
        <w:pStyle w:val="ListParagraph"/>
        <w:ind w:left="360"/>
        <w:jc w:val="both"/>
        <w:rPr>
          <w:rFonts w:cs="Sylfaen"/>
          <w:bCs/>
          <w:sz w:val="18"/>
          <w:szCs w:val="18"/>
        </w:rPr>
      </w:pPr>
    </w:p>
    <w:p w:rsidR="0078177E" w:rsidRPr="0015402C" w:rsidRDefault="0078177E" w:rsidP="0015402C">
      <w:pPr>
        <w:jc w:val="center"/>
        <w:rPr>
          <w:b/>
          <w:lang w:val="ka-GE"/>
        </w:rPr>
      </w:pPr>
      <w:r w:rsidRPr="0015402C">
        <w:rPr>
          <w:b/>
          <w:lang w:val="ka-GE"/>
        </w:rPr>
        <w:t xml:space="preserve">საორგანიზაციო სამმართველო </w:t>
      </w:r>
    </w:p>
    <w:p w:rsidR="0078177E" w:rsidRPr="00C120F8" w:rsidRDefault="0078177E" w:rsidP="0078177E">
      <w:pPr>
        <w:spacing w:after="0"/>
        <w:jc w:val="both"/>
        <w:rPr>
          <w:sz w:val="18"/>
          <w:szCs w:val="18"/>
          <w:u w:val="single"/>
          <w:lang w:val="ka-GE"/>
        </w:rPr>
      </w:pP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I. 2018 წლის  1 იანვრიდან 31  დეკემბრამდე  ჯანმრთელობის დაცვის დეპარტამენტის საორგანიზაციო სამმართველოში შემოვიდა, დამუშავდა და პასუხი გაეცა 26751  მოქალაქის განცხადებას.  ,,საქართველოს 2018  წლის სახელმწიფო ბიუჯეტის შესახებ” საქართველოს კანონით „რეფერალური მომსახურების“  სახელმწიფო პროგრამის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კომპონენტისთვის გამოყოფილი  იყო 22,295,000.00 ლარი,  დამატებით 4,580,000.00 ლარის მობილიზების შემდეგ, ასიგნებამ შეადგინა  26,875,000.00 ლარი.  ამავე დადგენილების ,, მე-6 მუხლის მე-5 პუნქტისა და მე-7 მუხლის მე-7 პუნქტის  მოთხოვნათა შესაბამისად, აუთვისებელმა რესურსმა  შეადგინა 3,000, 000.00  ლარი.   2018 წლის 1 იანვრიდან    ჩატარებულია საქართველოს მთავრობის 2010 წლის 3 ნოემბრის  N331 დადგენილების შესაბამისად მოქმედი კომისიის 42 სხდომა და ამავე დადგენილების ფარგლებში მოქმედი  სპეციალური შემადგენლობის კომისიის 30 სხდომა.  განხილულ  იქნა და დაკმაყოფილდა  16659  მოქალაქის თხოვნა.   მიღებულია დადებითი გადაწყვეტილება  31064204.16 ლარის მოცულობის სერვისების დაფინანსებაზე.     </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საქართველოს მთავრობის 2010 წლის 3 ნოემბრის N331 დადგენილების თანახმად,   ,,რეფერალური მომსახურების“ ფარგლებში  სამედიცინო დახმარების გაწევის შესახებ გადაწყვეტილების მიღების მიზნით შექმნილ  კომისიაზე“ განხილვას ექვემდებარება:     </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1. „ოკუპირებული ტერიტორიების შესახებ“ საქართვე</w:t>
      </w:r>
      <w:r w:rsidRPr="0015402C">
        <w:rPr>
          <w:rFonts w:eastAsia="Times New Roman" w:cs="Sylfaen"/>
          <w:noProof w:val="0"/>
          <w:lang w:val="ka-GE"/>
        </w:rPr>
        <w:softHyphen/>
        <w:t>ლოს კანონის მე-2 მუხლისა და მე-10 მუხლის მე-2 პუნქტით გათვალისწინებულ ტერი</w:t>
      </w:r>
      <w:r w:rsidRPr="0015402C">
        <w:rPr>
          <w:rFonts w:eastAsia="Times New Roman" w:cs="Sylfaen"/>
          <w:noProof w:val="0"/>
          <w:lang w:val="ka-GE"/>
        </w:rPr>
        <w:softHyphen/>
        <w:t>ტორიებზე მცხოვრები საქართველოს მოქალაქეები და საქართველოში მუდ</w:t>
      </w:r>
      <w:r w:rsidRPr="0015402C">
        <w:rPr>
          <w:rFonts w:eastAsia="Times New Roman" w:cs="Sylfaen"/>
          <w:noProof w:val="0"/>
          <w:lang w:val="ka-GE"/>
        </w:rPr>
        <w:softHyphen/>
        <w:t>მივად მცხოვრები მოქა</w:t>
      </w:r>
      <w:r w:rsidRPr="0015402C">
        <w:rPr>
          <w:rFonts w:eastAsia="Times New Roman" w:cs="Sylfaen"/>
          <w:noProof w:val="0"/>
          <w:lang w:val="ka-GE"/>
        </w:rPr>
        <w:softHyphen/>
        <w:t xml:space="preserve">ლაქეობის არმქონე პირების სამედიცინო მომსახურების დაფინანსება.  2018 წლის 1 იანვრიდან  28დეკემბრამდე  დაფინანსებულია აფხაზეთის  ოკუპირებულ ტერიტორიასა და ყოფილ  სამხრეთ ოსეთში  მცხოვრები (უპირატესად,  ეთნიკურად  აფხაზი და ოსი)  963 მოქალაქის სამედიცინო მომსახურების  1669 შემთხვევის ხარჯები,  მთლიანობაში   - 4,493,001.94 ლარის მოცულობით.   </w:t>
      </w:r>
    </w:p>
    <w:p w:rsidR="0078177E" w:rsidRPr="0015402C" w:rsidRDefault="0078177E" w:rsidP="0078177E">
      <w:pPr>
        <w:jc w:val="both"/>
        <w:rPr>
          <w:rFonts w:eastAsia="Times New Roman" w:cs="Sylfaen"/>
          <w:noProof w:val="0"/>
          <w:lang w:val="ka-GE"/>
        </w:rPr>
      </w:pPr>
      <w:r w:rsidRPr="0015402C">
        <w:rPr>
          <w:rFonts w:eastAsia="Times New Roman" w:cs="Sylfaen"/>
          <w:noProof w:val="0"/>
          <w:lang w:val="ka-GE"/>
        </w:rPr>
        <w:t>2.  სოციალურად დაუცველი ოჯახების მონაცემთა ერ</w:t>
      </w:r>
      <w:r w:rsidRPr="0015402C">
        <w:rPr>
          <w:rFonts w:eastAsia="Times New Roman" w:cs="Sylfaen"/>
          <w:noProof w:val="0"/>
          <w:lang w:val="ka-GE"/>
        </w:rPr>
        <w:softHyphen/>
        <w:t>თიან ბაზაში რე</w:t>
      </w:r>
      <w:r w:rsidRPr="0015402C">
        <w:rPr>
          <w:rFonts w:eastAsia="Times New Roman" w:cs="Sylfaen"/>
          <w:noProof w:val="0"/>
          <w:lang w:val="ka-GE"/>
        </w:rPr>
        <w:softHyphen/>
        <w:t>გისტრირებული ოჯახის წევრების სამედიცინო მომსახურება, რომელ</w:t>
      </w:r>
      <w:r w:rsidRPr="0015402C">
        <w:rPr>
          <w:rFonts w:eastAsia="Times New Roman" w:cs="Sylfaen"/>
          <w:noProof w:val="0"/>
          <w:lang w:val="ka-GE"/>
        </w:rPr>
        <w:softHyphen/>
        <w:t>თა ოჯახის სოციალურ-ეკონო</w:t>
      </w:r>
      <w:r w:rsidRPr="0015402C">
        <w:rPr>
          <w:rFonts w:eastAsia="Times New Roman" w:cs="Sylfaen"/>
          <w:noProof w:val="0"/>
          <w:lang w:val="ka-GE"/>
        </w:rPr>
        <w:softHyphen/>
        <w:t>მი</w:t>
      </w:r>
      <w:r w:rsidRPr="0015402C">
        <w:rPr>
          <w:rFonts w:eastAsia="Times New Roman" w:cs="Sylfaen"/>
          <w:noProof w:val="0"/>
          <w:lang w:val="ka-GE"/>
        </w:rPr>
        <w:softHyphen/>
        <w:t>კური მდგომარეობის მაჩვე</w:t>
      </w:r>
      <w:r w:rsidRPr="0015402C">
        <w:rPr>
          <w:rFonts w:eastAsia="Times New Roman" w:cs="Sylfaen"/>
          <w:noProof w:val="0"/>
          <w:lang w:val="ka-GE"/>
        </w:rPr>
        <w:softHyphen/>
        <w:t>ნებელი ქულა არ აღემატება 70 000-ს, და რო</w:t>
      </w:r>
      <w:r w:rsidRPr="0015402C">
        <w:rPr>
          <w:rFonts w:eastAsia="Times New Roman" w:cs="Sylfaen"/>
          <w:noProof w:val="0"/>
          <w:lang w:val="ka-GE"/>
        </w:rPr>
        <w:softHyphen/>
        <w:t>მელ</w:t>
      </w:r>
      <w:r w:rsidRPr="0015402C">
        <w:rPr>
          <w:rFonts w:eastAsia="Times New Roman" w:cs="Sylfaen"/>
          <w:noProof w:val="0"/>
          <w:lang w:val="ka-GE"/>
        </w:rPr>
        <w:softHyphen/>
        <w:t>თაც სა</w:t>
      </w:r>
      <w:r w:rsidRPr="0015402C">
        <w:rPr>
          <w:rFonts w:eastAsia="Times New Roman" w:cs="Sylfaen"/>
          <w:noProof w:val="0"/>
          <w:lang w:val="ka-GE"/>
        </w:rPr>
        <w:softHyphen/>
        <w:t>დაზ</w:t>
      </w:r>
      <w:r w:rsidRPr="0015402C">
        <w:rPr>
          <w:rFonts w:eastAsia="Times New Roman" w:cs="Sylfaen"/>
          <w:noProof w:val="0"/>
          <w:lang w:val="ka-GE"/>
        </w:rPr>
        <w:softHyphen/>
      </w:r>
      <w:r w:rsidRPr="0015402C">
        <w:rPr>
          <w:rFonts w:eastAsia="Times New Roman" w:cs="Sylfaen"/>
          <w:noProof w:val="0"/>
          <w:lang w:val="ka-GE"/>
        </w:rPr>
        <w:softHyphen/>
        <w:t>ღვევო პერიოდი ჯერ არ დაწყებიათ, ან/და, რომელთა სა</w:t>
      </w:r>
      <w:r w:rsidRPr="0015402C">
        <w:rPr>
          <w:rFonts w:eastAsia="Times New Roman" w:cs="Sylfaen"/>
          <w:noProof w:val="0"/>
          <w:lang w:val="ka-GE"/>
        </w:rPr>
        <w:softHyphen/>
        <w:t>მე</w:t>
      </w:r>
      <w:r w:rsidRPr="0015402C">
        <w:rPr>
          <w:rFonts w:eastAsia="Times New Roman" w:cs="Sylfaen"/>
          <w:noProof w:val="0"/>
          <w:lang w:val="ka-GE"/>
        </w:rPr>
        <w:softHyphen/>
        <w:t>დი</w:t>
      </w:r>
      <w:r w:rsidRPr="0015402C">
        <w:rPr>
          <w:rFonts w:eastAsia="Times New Roman" w:cs="Sylfaen"/>
          <w:noProof w:val="0"/>
          <w:lang w:val="ka-GE"/>
        </w:rPr>
        <w:softHyphen/>
        <w:t>ცინო მომსახურებასთან დაკავშირებული ხარჯები არ იფარება დაზღვე</w:t>
      </w:r>
      <w:r w:rsidRPr="0015402C">
        <w:rPr>
          <w:rFonts w:eastAsia="Times New Roman" w:cs="Sylfaen"/>
          <w:noProof w:val="0"/>
          <w:lang w:val="ka-GE"/>
        </w:rPr>
        <w:softHyphen/>
        <w:t>ვით ან სხვა სახელმწიფო პროგრა</w:t>
      </w:r>
      <w:r w:rsidRPr="0015402C">
        <w:rPr>
          <w:rFonts w:eastAsia="Times New Roman" w:cs="Sylfaen"/>
          <w:noProof w:val="0"/>
          <w:lang w:val="ka-GE"/>
        </w:rPr>
        <w:softHyphen/>
        <w:t>მე</w:t>
      </w:r>
      <w:r w:rsidRPr="0015402C">
        <w:rPr>
          <w:rFonts w:eastAsia="Times New Roman" w:cs="Sylfaen"/>
          <w:noProof w:val="0"/>
          <w:lang w:val="ka-GE"/>
        </w:rPr>
        <w:softHyphen/>
        <w:t>ბით; 2018 წლის 1 იანვრიდან 28 დეკემბრამდე  დაფინანსებულია   5024   სოც. დაუცველი მოქალაქის  სამედიცინო  მომსახურება - მთლიანობაში  2,499,357.77  ლარით.  გარდა ამისა, შესაბამისი ვალდებულების ფარგლებში დაფინანსებულია  სოციალურად დაუცველი   გულის თანდაყოლილი</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მანკით დაავადებული 113  მოქალაქე -1062938,41 ლარით. ადრეული ძუძუს აგრესიული HER-2 რეცეპტორ-დადებითი დიაგნოზის მქონე  მოქალაქის ჰერცეპტინით  მკურნალობის 163 შემთხვევა- 295632,00 ლარით. და საზღვარგარეთ მკურნალობის 49  შემთხვევა  625453,22 ლარით.</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  3.   გულის თანდაყოლილი მანკით დაავადებული  პაციენტები  -  2018  წლის 1 იანვრიდან 28 დეკემბრის ჩათვლით დაფინანსებულია 749 შემთხვევა, დაფინანსების თანხამ შეადგინა 9,320,557.44 ლარი.  </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  4.      ადრეული ძუძუს აგრესიული HER-2 რეცეპტორ-დადებითი დიაგნოზის მქონე,     ჰერცეპტინით  მკურნალობის საჭიროების მქონე პაციენტები -1065 შემთხვევა, დაფინანსების თანხამ შეადგინა 1,933,411.00 ლარი. </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lastRenderedPageBreak/>
        <w:t xml:space="preserve">   5. ფილტვების იდიოპათური ფიბროზის დიაგნოზის მქონე, მედიკამენტ პირფენიდონით მკურნალობის  საჭიროების მქონე პაციენტები -  2018 წლის 1 იანვრიდან 28 დეკემბრის ჩათვლით დაფინანსებულია 142 შემთხვევა, დაფინანსების თანხამ შეადგინა 511,200.00 ლარი.</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       რეფერალური პროგრამის ფარგლებში განიხილება იმ პაციენტთა სამედიცინო მომსახურების  დაფინანსების საკითხიც, რომლებიც საჭიროებენ საზღვარგარეთ მკურნალობას. 2018 წლის 1 იანვრიდან 28 დეკემბრის ჩათვლით  საზღვარგარეთ მკურნალობა დაუფინანსდა   364   მოქალაქეს,  მთლიანობაში - 4,117,057.61 ლარით. </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       2018 წლის 1 იანვრიდან 28 დეკემბრის ჩათვლით, კომისიის მიერ განხილულ და დაფინანსებულ იქნა კონფლიქტის მიმდებარე ტერიტორიებზე  მცხოვრებ მოქალაქეთა სამედიცინო  მომსახურების 382  შემთხვევა ,  მთლიანობაში- 498,428.51ლარით.</w:t>
      </w:r>
    </w:p>
    <w:p w:rsidR="0078177E" w:rsidRPr="0015402C" w:rsidRDefault="0078177E" w:rsidP="0078177E">
      <w:pPr>
        <w:spacing w:after="0"/>
        <w:jc w:val="both"/>
        <w:rPr>
          <w:rFonts w:eastAsia="Times New Roman" w:cs="Sylfaen"/>
          <w:noProof w:val="0"/>
          <w:lang w:val="ka-GE"/>
        </w:rPr>
      </w:pP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II.</w:t>
      </w:r>
      <w:r w:rsidR="0015402C">
        <w:rPr>
          <w:rFonts w:eastAsia="Times New Roman" w:cs="Sylfaen"/>
          <w:noProof w:val="0"/>
        </w:rPr>
        <w:t xml:space="preserve"> </w:t>
      </w:r>
      <w:r w:rsidRPr="0015402C">
        <w:rPr>
          <w:rFonts w:eastAsia="Times New Roman" w:cs="Sylfaen"/>
          <w:noProof w:val="0"/>
          <w:lang w:val="ka-GE"/>
        </w:rPr>
        <w:t xml:space="preserve">1.2019  წლის „რეფერალური მომსახურების“  სახელმწიფო პროგრამის შესაბამისი კომპონენტისათვის გამოყოფილი ასიგნება შეადგენს 19 342 960.00 ლარს.  2019 წლის 1 იანვრიდან 1 ივლისის  მდგომარეობით ჩატარებულია 29 სხდომა,  ხოლო სპეციალური შემადგენლობის კომისიის 16 სხდომა. დაფინანსდა  11104  პაციენტი. დადებითი გადაწყვეტილება  მიღებულია  19 167 960.00   ლარის მოცულობის სერვისების დაფინანსებაზე.  აქედან: </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 ოკუპირებულ ტერიტორიაზე მცხოვრებ პაციენტთა  764  შემთხვევაზე - 2148032.66 ლარი;</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კონფლიქტის მიმდებარე ტერიტორიაზე მცხოვრებ პაციენტთა  332  შემთხვევაზე -  346762,12ლარი; </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 სოციალურად დაუცველ  პაციენტთა 2780  შემთხვევაზე -  1634960,71  ლარი;</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საზღვარგარეთ მკურნალობის 182 შემთხვევაზე -   1935977,95 ლარი;  </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ჰერცეპტინით მკურნალობის 644  შემთხვევაზე - 1228209,2ლარი; </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 გულის თანდაყოლილი მანკის  416  შემთხვევაზე 5018137,21 ლარი </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იდიოპათიური ფიბროზის 95  შემთხვევაზე -  342000 ლარი.</w:t>
      </w:r>
    </w:p>
    <w:p w:rsidR="0078177E" w:rsidRPr="0015402C" w:rsidRDefault="0078177E" w:rsidP="0078177E">
      <w:pPr>
        <w:spacing w:after="0"/>
        <w:jc w:val="both"/>
        <w:rPr>
          <w:rFonts w:eastAsia="Times New Roman" w:cs="Sylfaen"/>
          <w:noProof w:val="0"/>
          <w:lang w:val="ka-GE"/>
        </w:rPr>
      </w:pPr>
      <w:r w:rsidRPr="0015402C">
        <w:rPr>
          <w:rFonts w:eastAsia="Times New Roman" w:cs="Sylfaen"/>
          <w:noProof w:val="0"/>
          <w:lang w:val="ka-GE"/>
        </w:rPr>
        <w:t xml:space="preserve">     </w:t>
      </w:r>
    </w:p>
    <w:p w:rsidR="0078177E" w:rsidRPr="0015402C" w:rsidRDefault="0078177E" w:rsidP="0078177E">
      <w:pPr>
        <w:spacing w:after="0"/>
        <w:rPr>
          <w:rFonts w:eastAsia="Times New Roman" w:cs="Sylfaen"/>
          <w:noProof w:val="0"/>
          <w:lang w:val="ka-GE"/>
        </w:rPr>
      </w:pPr>
      <w:r w:rsidRPr="0015402C">
        <w:rPr>
          <w:rFonts w:eastAsia="Times New Roman" w:cs="Sylfaen"/>
          <w:noProof w:val="0"/>
          <w:lang w:val="ka-GE"/>
        </w:rPr>
        <w:t>2.კომისიის მუშაობის უფრო ეფექტურად წარმართვის უზრუნველსაყოფად, მიმართვების ადმინისტრირების ელექტრონული მოდულით ოპერირების გამარტივების,   მოდულისა და დეს-ის განტვირთვის  მიზნით,  მიმდინარეობს მუშაობა შემდეგი მიმართულებით:</w:t>
      </w:r>
    </w:p>
    <w:p w:rsidR="0078177E" w:rsidRPr="0015402C" w:rsidRDefault="0078177E" w:rsidP="0078177E">
      <w:pPr>
        <w:pStyle w:val="ListParagraph"/>
        <w:numPr>
          <w:ilvl w:val="0"/>
          <w:numId w:val="4"/>
        </w:numPr>
        <w:spacing w:after="0" w:line="276" w:lineRule="auto"/>
        <w:rPr>
          <w:rFonts w:eastAsia="Times New Roman" w:cs="Sylfaen"/>
          <w:noProof w:val="0"/>
          <w:lang w:val="ka-GE"/>
        </w:rPr>
      </w:pPr>
      <w:r w:rsidRPr="0015402C">
        <w:rPr>
          <w:rFonts w:eastAsia="Times New Roman" w:cs="Sylfaen"/>
          <w:noProof w:val="0"/>
          <w:lang w:val="ka-GE"/>
        </w:rPr>
        <w:t>ერთი და იგივე დოკუმენტაციასთან სამუშაოდ  სისტემების ინტეგრაციაზე მუშაობა სხვა შესაბამის სამსახურებთან ერთად;</w:t>
      </w:r>
    </w:p>
    <w:p w:rsidR="0078177E" w:rsidRPr="0015402C" w:rsidRDefault="0078177E" w:rsidP="0078177E">
      <w:pPr>
        <w:pStyle w:val="ListParagraph"/>
        <w:numPr>
          <w:ilvl w:val="0"/>
          <w:numId w:val="4"/>
        </w:numPr>
        <w:spacing w:after="0" w:line="276" w:lineRule="auto"/>
        <w:rPr>
          <w:rFonts w:eastAsia="Times New Roman" w:cs="Sylfaen"/>
          <w:noProof w:val="0"/>
          <w:lang w:val="ka-GE"/>
        </w:rPr>
      </w:pPr>
      <w:r w:rsidRPr="0015402C">
        <w:rPr>
          <w:rFonts w:eastAsia="Times New Roman" w:cs="Sylfaen"/>
          <w:noProof w:val="0"/>
          <w:lang w:val="ka-GE"/>
        </w:rPr>
        <w:t>ადმინისტრირების მოდულში კლინიკების მიერ საჭირო სამედიცინო დოკუმენტაციის წარმოდგენის პროგრამული უზრუნველყოფა;</w:t>
      </w:r>
    </w:p>
    <w:p w:rsidR="0078177E" w:rsidRPr="0015402C" w:rsidRDefault="0078177E" w:rsidP="0078177E">
      <w:pPr>
        <w:pStyle w:val="ListParagraph"/>
        <w:numPr>
          <w:ilvl w:val="0"/>
          <w:numId w:val="4"/>
        </w:numPr>
        <w:spacing w:after="0" w:line="276" w:lineRule="auto"/>
        <w:rPr>
          <w:rFonts w:eastAsia="Times New Roman" w:cs="Sylfaen"/>
          <w:noProof w:val="0"/>
          <w:lang w:val="ka-GE"/>
        </w:rPr>
      </w:pPr>
      <w:r w:rsidRPr="0015402C">
        <w:rPr>
          <w:rFonts w:eastAsia="Times New Roman" w:cs="Sylfaen"/>
          <w:noProof w:val="0"/>
          <w:lang w:val="ka-GE"/>
        </w:rPr>
        <w:t>თბილისის მერიის სამსახურის მიმართვების მოდულის და სამინისტროს მოდულის ინტეგრაცია.</w:t>
      </w:r>
    </w:p>
    <w:p w:rsidR="0078177E" w:rsidRPr="0015402C" w:rsidRDefault="0078177E" w:rsidP="0078177E">
      <w:pPr>
        <w:pStyle w:val="ListParagraph"/>
        <w:spacing w:after="0"/>
        <w:ind w:left="405"/>
        <w:rPr>
          <w:rFonts w:eastAsia="Times New Roman" w:cs="Sylfaen"/>
          <w:noProof w:val="0"/>
          <w:lang w:val="ka-GE"/>
        </w:rPr>
      </w:pPr>
      <w:r w:rsidRPr="0015402C">
        <w:rPr>
          <w:rFonts w:eastAsia="Times New Roman" w:cs="Sylfaen"/>
          <w:noProof w:val="0"/>
          <w:lang w:val="ka-GE"/>
        </w:rPr>
        <w:t xml:space="preserve"> </w:t>
      </w:r>
    </w:p>
    <w:p w:rsidR="0078177E" w:rsidRPr="0015402C" w:rsidRDefault="0078177E" w:rsidP="0078177E">
      <w:pPr>
        <w:spacing w:after="0" w:line="240" w:lineRule="auto"/>
        <w:jc w:val="both"/>
        <w:rPr>
          <w:rFonts w:eastAsia="Times New Roman" w:cs="Sylfaen"/>
          <w:noProof w:val="0"/>
          <w:lang w:val="ka-GE"/>
        </w:rPr>
      </w:pPr>
      <w:r w:rsidRPr="0015402C">
        <w:rPr>
          <w:rFonts w:eastAsia="Times New Roman" w:cs="Sylfaen"/>
          <w:noProof w:val="0"/>
          <w:lang w:val="ka-GE"/>
        </w:rPr>
        <w:t xml:space="preserve">3.სპინალური ატროფიის (სპინალური ამიოტროფიის) სამკურნალოდ, დღეისთვის, არსებული   ერთადერთი საშუალების -2016  წელს ამერიკაში შემუშავებული პრეპარატ    ნუსინერსენით  (იგივე სპინრაზა)  მკურნალობის საჭიროების მქონე პაციენტთა  პრეპარატზე ფინანსური ხელმისაწვდომობის უზრუნველყოფა. </w:t>
      </w:r>
    </w:p>
    <w:p w:rsidR="0078177E" w:rsidRPr="0015402C" w:rsidRDefault="0078177E" w:rsidP="0078177E">
      <w:pPr>
        <w:spacing w:after="0" w:line="240" w:lineRule="auto"/>
        <w:jc w:val="both"/>
        <w:rPr>
          <w:rFonts w:eastAsia="Times New Roman" w:cs="Sylfaen"/>
          <w:noProof w:val="0"/>
          <w:lang w:val="ka-GE"/>
        </w:rPr>
      </w:pPr>
    </w:p>
    <w:p w:rsidR="0078177E" w:rsidRPr="0015402C" w:rsidRDefault="0078177E" w:rsidP="0078177E">
      <w:pPr>
        <w:spacing w:after="0" w:line="240" w:lineRule="auto"/>
        <w:jc w:val="both"/>
        <w:rPr>
          <w:rFonts w:eastAsia="Times New Roman" w:cs="Sylfaen"/>
          <w:noProof w:val="0"/>
          <w:lang w:val="ka-GE"/>
        </w:rPr>
      </w:pPr>
      <w:r w:rsidRPr="0015402C">
        <w:rPr>
          <w:rFonts w:eastAsia="Times New Roman" w:cs="Sylfaen"/>
          <w:noProof w:val="0"/>
          <w:lang w:val="ka-GE"/>
        </w:rPr>
        <w:t>4.გაფანტული სკლეროზის დიაგნოზის მქონე პაციენტთა მედიკამენტ ,,ოკრევუსით“ (ოკრელიზუმაბი) პროგრამული უზრუნველყოფა. პროცესი ხორციელდება ქ. მერიის ჯანდაცვის სამსახურთან და აჭარის ჯანდაცვის სამინისტროსთან ერთად. ამ ეტაპზე  მიმიდინარეობს მოლაპარაკება მწარმოებელთან (როშე), პრეპარატის მოწოდების საუკეთესო პირობების   (ფასის) მისაღწევად.  </w:t>
      </w:r>
    </w:p>
    <w:p w:rsidR="0078177E" w:rsidRPr="0015402C" w:rsidRDefault="0078177E" w:rsidP="0078177E">
      <w:pPr>
        <w:spacing w:after="0" w:line="240" w:lineRule="auto"/>
        <w:ind w:firstLine="60"/>
        <w:jc w:val="both"/>
        <w:rPr>
          <w:rFonts w:eastAsia="Times New Roman" w:cs="Sylfaen"/>
          <w:noProof w:val="0"/>
          <w:lang w:val="ka-GE"/>
        </w:rPr>
      </w:pPr>
      <w:r w:rsidRPr="0015402C">
        <w:rPr>
          <w:rFonts w:eastAsia="Times New Roman" w:cs="Sylfaen"/>
          <w:noProof w:val="0"/>
          <w:lang w:val="ka-GE"/>
        </w:rPr>
        <w:t xml:space="preserve">  </w:t>
      </w:r>
    </w:p>
    <w:p w:rsidR="0078177E" w:rsidRDefault="0078177E" w:rsidP="0078177E">
      <w:pPr>
        <w:spacing w:after="0" w:line="240" w:lineRule="auto"/>
        <w:ind w:firstLine="60"/>
        <w:jc w:val="both"/>
        <w:rPr>
          <w:rFonts w:eastAsia="Times New Roman"/>
          <w:sz w:val="24"/>
          <w:szCs w:val="24"/>
          <w:lang w:val="ka-GE"/>
        </w:rPr>
      </w:pPr>
    </w:p>
    <w:p w:rsidR="0078177E" w:rsidRPr="00C120F8" w:rsidRDefault="0078177E" w:rsidP="0078177E">
      <w:pPr>
        <w:rPr>
          <w:sz w:val="18"/>
          <w:szCs w:val="18"/>
        </w:rPr>
      </w:pPr>
    </w:p>
    <w:p w:rsidR="0078177E" w:rsidRDefault="0078177E" w:rsidP="0015402C">
      <w:pPr>
        <w:jc w:val="center"/>
        <w:rPr>
          <w:b/>
          <w:lang w:val="ka-GE"/>
        </w:rPr>
      </w:pPr>
      <w:r w:rsidRPr="00DA68A1">
        <w:rPr>
          <w:b/>
          <w:lang w:val="ka-GE"/>
        </w:rPr>
        <w:lastRenderedPageBreak/>
        <w:t>რეგულირების სამმართველო</w:t>
      </w:r>
    </w:p>
    <w:p w:rsidR="0015402C" w:rsidRPr="00DA68A1" w:rsidRDefault="0015402C" w:rsidP="0015402C">
      <w:pPr>
        <w:jc w:val="center"/>
        <w:rPr>
          <w:b/>
          <w:lang w:val="ka-GE"/>
        </w:rPr>
      </w:pPr>
      <w:bookmarkStart w:id="0" w:name="_GoBack"/>
      <w:bookmarkEnd w:id="0"/>
    </w:p>
    <w:p w:rsidR="0078177E" w:rsidRDefault="0078177E" w:rsidP="0078177E">
      <w:pPr>
        <w:jc w:val="both"/>
        <w:rPr>
          <w:lang w:val="ka-GE"/>
        </w:rPr>
      </w:pPr>
      <w:r>
        <w:rPr>
          <w:rFonts w:cs="Sylfaen"/>
          <w:lang w:val="ka-GE"/>
        </w:rPr>
        <w:t xml:space="preserve">1. </w:t>
      </w:r>
      <w:r w:rsidRPr="00AA3171">
        <w:rPr>
          <w:rFonts w:cs="Sylfaen"/>
          <w:lang w:val="ka-GE"/>
        </w:rPr>
        <w:t>განახლდა</w:t>
      </w:r>
      <w:r w:rsidRPr="00AA3171">
        <w:rPr>
          <w:lang w:val="ka-GE"/>
        </w:rPr>
        <w:t xml:space="preserve"> პათოლოგანატომიური საქმიანობის სალიცენზიო მოთხოვნები</w:t>
      </w:r>
      <w:r>
        <w:rPr>
          <w:lang w:val="ka-GE"/>
        </w:rPr>
        <w:t>;</w:t>
      </w:r>
    </w:p>
    <w:p w:rsidR="0078177E" w:rsidRDefault="0078177E" w:rsidP="0078177E">
      <w:pPr>
        <w:jc w:val="both"/>
        <w:rPr>
          <w:lang w:val="ka-GE"/>
        </w:rPr>
      </w:pPr>
      <w:r>
        <w:rPr>
          <w:lang w:val="ka-GE"/>
        </w:rPr>
        <w:t xml:space="preserve">2. </w:t>
      </w:r>
      <w:r w:rsidRPr="00AA3171">
        <w:rPr>
          <w:lang w:val="ka-GE"/>
        </w:rPr>
        <w:t xml:space="preserve"> </w:t>
      </w:r>
      <w:r>
        <w:rPr>
          <w:lang w:val="ka-GE"/>
        </w:rPr>
        <w:t xml:space="preserve">განახლდა </w:t>
      </w:r>
      <w:r w:rsidRPr="00AA3171">
        <w:rPr>
          <w:lang w:val="ka-GE"/>
        </w:rPr>
        <w:t>სამედიცინო საქმიანობის სალიცენზიო პირობებისა და  სტაციონარული დაწესებულების სანებართვო პირობების დაცვის შესახებ ანგარიშგების ფორმები</w:t>
      </w:r>
      <w:r>
        <w:rPr>
          <w:lang w:val="ka-GE"/>
        </w:rPr>
        <w:t>;</w:t>
      </w:r>
    </w:p>
    <w:p w:rsidR="0078177E" w:rsidRDefault="0078177E" w:rsidP="0078177E">
      <w:pPr>
        <w:jc w:val="both"/>
        <w:rPr>
          <w:lang w:val="ka-GE"/>
        </w:rPr>
      </w:pPr>
      <w:r>
        <w:rPr>
          <w:lang w:val="ka-GE"/>
        </w:rPr>
        <w:t xml:space="preserve">3. მომზადდა </w:t>
      </w:r>
      <w:r w:rsidRPr="0035511E">
        <w:rPr>
          <w:lang w:val="ka-GE"/>
        </w:rPr>
        <w:t>სარეაბილიტაციო-გამაჯანსაღებელი სტაციონარის სანებართვო პირობები</w:t>
      </w:r>
      <w:r>
        <w:rPr>
          <w:lang w:val="ka-GE"/>
        </w:rPr>
        <w:t>;</w:t>
      </w:r>
    </w:p>
    <w:p w:rsidR="0078177E" w:rsidRDefault="0078177E" w:rsidP="0078177E">
      <w:pPr>
        <w:jc w:val="both"/>
        <w:rPr>
          <w:lang w:val="ka-GE"/>
        </w:rPr>
      </w:pPr>
      <w:r>
        <w:rPr>
          <w:lang w:val="ka-GE"/>
        </w:rPr>
        <w:t xml:space="preserve">4. </w:t>
      </w:r>
      <w:r w:rsidRPr="00FD6141">
        <w:rPr>
          <w:lang w:val="ka-GE"/>
        </w:rPr>
        <w:t>განახლდა</w:t>
      </w:r>
      <w:r>
        <w:rPr>
          <w:lang w:val="ka-GE"/>
        </w:rPr>
        <w:t xml:space="preserve"> </w:t>
      </w:r>
      <w:r w:rsidRPr="00FD6141">
        <w:rPr>
          <w:lang w:val="ka-GE"/>
        </w:rPr>
        <w:t>გადაუდებელი სამედიცინო დახმარების (EMERGENCY) სანებართვო პირობები</w:t>
      </w:r>
      <w:r>
        <w:rPr>
          <w:lang w:val="ka-GE"/>
        </w:rPr>
        <w:t xml:space="preserve"> (წარდგენილია საქართველოს მთავრობისათვის დასამტკიცებლად);</w:t>
      </w:r>
    </w:p>
    <w:p w:rsidR="0078177E" w:rsidRDefault="0078177E" w:rsidP="0078177E">
      <w:pPr>
        <w:jc w:val="both"/>
        <w:rPr>
          <w:lang w:val="ka-GE"/>
        </w:rPr>
      </w:pPr>
      <w:r>
        <w:rPr>
          <w:lang w:val="ka-GE"/>
        </w:rPr>
        <w:t xml:space="preserve">5. მომზადდა </w:t>
      </w:r>
      <w:r w:rsidRPr="0035511E">
        <w:rPr>
          <w:lang w:val="ka-GE"/>
        </w:rPr>
        <w:t>სასწრაფო სამედიცინო დახმარების სამსახურის</w:t>
      </w:r>
      <w:r>
        <w:rPr>
          <w:lang w:val="ka-GE"/>
        </w:rPr>
        <w:t xml:space="preserve"> სალიცენზიო პირობები (უახლოეს მომავალში წარდგენილი იქნება დასამტკიცებლად);</w:t>
      </w:r>
    </w:p>
    <w:p w:rsidR="0078177E" w:rsidRDefault="0078177E" w:rsidP="0078177E">
      <w:pPr>
        <w:jc w:val="both"/>
        <w:rPr>
          <w:lang w:val="ka-GE"/>
        </w:rPr>
      </w:pPr>
      <w:r>
        <w:rPr>
          <w:lang w:val="ka-GE"/>
        </w:rPr>
        <w:t xml:space="preserve">6. მომზადდა და დამტკიცდა </w:t>
      </w:r>
      <w:r w:rsidRPr="00342922">
        <w:rPr>
          <w:lang w:val="ka-GE"/>
        </w:rPr>
        <w:t>პოლიფარმაციის შემთხვევების გამოვლენისა და რეაგირების წესი</w:t>
      </w:r>
      <w:r>
        <w:rPr>
          <w:lang w:val="ka-GE"/>
        </w:rPr>
        <w:t>;</w:t>
      </w:r>
    </w:p>
    <w:p w:rsidR="0078177E" w:rsidRDefault="0078177E" w:rsidP="0078177E">
      <w:pPr>
        <w:jc w:val="both"/>
        <w:rPr>
          <w:lang w:val="ka-GE"/>
        </w:rPr>
      </w:pPr>
      <w:r>
        <w:rPr>
          <w:lang w:val="ka-GE"/>
        </w:rPr>
        <w:t xml:space="preserve">7. განხორციელდა მნიშვნელოვანი ღონისძიებები </w:t>
      </w:r>
      <w:r w:rsidRPr="00342922">
        <w:rPr>
          <w:lang w:val="ka-GE"/>
        </w:rPr>
        <w:t>ევროკომისიის მიერ აღიარებული წარმოების  ნაციონალური GMP-ის  დანერგვ</w:t>
      </w:r>
      <w:r>
        <w:rPr>
          <w:lang w:val="ka-GE"/>
        </w:rPr>
        <w:t>ის</w:t>
      </w:r>
      <w:r w:rsidRPr="00342922">
        <w:rPr>
          <w:lang w:val="ka-GE"/>
        </w:rPr>
        <w:t xml:space="preserve"> </w:t>
      </w:r>
      <w:r>
        <w:rPr>
          <w:lang w:val="ka-GE"/>
        </w:rPr>
        <w:t>მიზნით, მათ შორის:</w:t>
      </w:r>
    </w:p>
    <w:p w:rsidR="0078177E" w:rsidRDefault="0078177E" w:rsidP="0078177E">
      <w:pPr>
        <w:pStyle w:val="ListParagraph"/>
        <w:numPr>
          <w:ilvl w:val="0"/>
          <w:numId w:val="5"/>
        </w:numPr>
        <w:spacing w:after="200" w:line="276" w:lineRule="auto"/>
        <w:jc w:val="both"/>
        <w:rPr>
          <w:lang w:val="ka-GE"/>
        </w:rPr>
      </w:pPr>
      <w:r w:rsidRPr="00FD6141">
        <w:rPr>
          <w:rFonts w:cs="Sylfaen"/>
          <w:lang w:val="ka-GE"/>
        </w:rPr>
        <w:t>დამტკიცდა</w:t>
      </w:r>
      <w:r w:rsidRPr="00FD6141">
        <w:rPr>
          <w:lang w:val="ka-GE"/>
        </w:rPr>
        <w:t xml:space="preserve"> ფარმაცევტული პროდუქტის წარმოების  ნაციონალური GMP-ის (კარგი საწარმოო პრაქტიკის) სტანდარტის დანერგვის  სტრატეგიული გეგმა;</w:t>
      </w:r>
    </w:p>
    <w:p w:rsidR="0078177E" w:rsidRDefault="0078177E" w:rsidP="0078177E">
      <w:pPr>
        <w:pStyle w:val="ListParagraph"/>
        <w:numPr>
          <w:ilvl w:val="0"/>
          <w:numId w:val="5"/>
        </w:numPr>
        <w:spacing w:after="200" w:line="276" w:lineRule="auto"/>
        <w:jc w:val="both"/>
        <w:rPr>
          <w:lang w:val="ka-GE"/>
        </w:rPr>
      </w:pPr>
      <w:r w:rsidRPr="00FD6141">
        <w:rPr>
          <w:lang w:val="ka-GE"/>
        </w:rPr>
        <w:t>GMP-ის სტანდარტის დანერგვის  სტრატეგიული გეგმ</w:t>
      </w:r>
      <w:r>
        <w:rPr>
          <w:lang w:val="ka-GE"/>
        </w:rPr>
        <w:t xml:space="preserve">ის თანახმად, მომზადდა და დამტკიცების პროცედურებს გადის მთელი რიგი დოკუმენტები, რომელთა ამოქმედება შესაძლებელს გახდის გარდამავალ ეტაპზე (2019 წლის 1 ივლისიდან 2022 წლის 1 იანვრამდე)  </w:t>
      </w:r>
      <w:r w:rsidRPr="00162D29">
        <w:rPr>
          <w:lang w:val="ka-GE"/>
        </w:rPr>
        <w:t>GMP</w:t>
      </w:r>
      <w:r>
        <w:rPr>
          <w:lang w:val="ka-GE"/>
        </w:rPr>
        <w:t>/</w:t>
      </w:r>
      <w:r w:rsidRPr="00162D29">
        <w:rPr>
          <w:lang w:val="ka-GE"/>
        </w:rPr>
        <w:t>GDP</w:t>
      </w:r>
      <w:r>
        <w:rPr>
          <w:lang w:val="ka-GE"/>
        </w:rPr>
        <w:t>-ის სერტიფიკატების გაცემას, მ.შ.:</w:t>
      </w:r>
    </w:p>
    <w:p w:rsidR="0078177E" w:rsidRDefault="0078177E" w:rsidP="0078177E">
      <w:pPr>
        <w:pStyle w:val="ListParagraph"/>
        <w:numPr>
          <w:ilvl w:val="0"/>
          <w:numId w:val="6"/>
        </w:numPr>
        <w:spacing w:after="200" w:line="276" w:lineRule="auto"/>
        <w:ind w:left="780"/>
        <w:jc w:val="both"/>
        <w:rPr>
          <w:lang w:val="ka-GE"/>
        </w:rPr>
      </w:pPr>
      <w:r w:rsidRPr="00162D29">
        <w:rPr>
          <w:lang w:val="ka-GE"/>
        </w:rPr>
        <w:t>„</w:t>
      </w:r>
      <w:r w:rsidRPr="00162D29">
        <w:rPr>
          <w:rFonts w:cs="Sylfaen"/>
          <w:lang w:val="ka-GE"/>
        </w:rPr>
        <w:t>ფარმაკოლოგიურ</w:t>
      </w:r>
      <w:r w:rsidRPr="00162D29">
        <w:rPr>
          <w:lang w:val="ka-GE"/>
        </w:rPr>
        <w:t xml:space="preserve"> </w:t>
      </w:r>
      <w:r w:rsidRPr="00162D29">
        <w:rPr>
          <w:rFonts w:cs="Sylfaen"/>
          <w:lang w:val="ka-GE"/>
        </w:rPr>
        <w:t>საშუალებათა</w:t>
      </w:r>
      <w:r w:rsidRPr="00162D29">
        <w:rPr>
          <w:lang w:val="ka-GE"/>
        </w:rPr>
        <w:t xml:space="preserve"> </w:t>
      </w:r>
      <w:r w:rsidRPr="00162D29">
        <w:rPr>
          <w:rFonts w:cs="Sylfaen"/>
          <w:lang w:val="ka-GE"/>
        </w:rPr>
        <w:t>კლინიკური</w:t>
      </w:r>
      <w:r w:rsidRPr="00162D29">
        <w:rPr>
          <w:lang w:val="ka-GE"/>
        </w:rPr>
        <w:t xml:space="preserve"> </w:t>
      </w:r>
      <w:r w:rsidRPr="00162D29">
        <w:rPr>
          <w:rFonts w:cs="Sylfaen"/>
          <w:lang w:val="ka-GE"/>
        </w:rPr>
        <w:t>კვლევის</w:t>
      </w:r>
      <w:r w:rsidRPr="00162D29">
        <w:rPr>
          <w:lang w:val="ka-GE"/>
        </w:rPr>
        <w:t xml:space="preserve">, </w:t>
      </w:r>
      <w:r w:rsidRPr="00162D29">
        <w:rPr>
          <w:rFonts w:cs="Sylfaen"/>
          <w:lang w:val="ka-GE"/>
        </w:rPr>
        <w:t>ფარმაცევტული</w:t>
      </w:r>
      <w:r w:rsidRPr="00162D29">
        <w:rPr>
          <w:lang w:val="ka-GE"/>
        </w:rPr>
        <w:t xml:space="preserve"> </w:t>
      </w:r>
      <w:r w:rsidRPr="00162D29">
        <w:rPr>
          <w:rFonts w:cs="Sylfaen"/>
          <w:lang w:val="ka-GE"/>
        </w:rPr>
        <w:t>წარმოების</w:t>
      </w:r>
      <w:r w:rsidRPr="00162D29">
        <w:rPr>
          <w:lang w:val="ka-GE"/>
        </w:rPr>
        <w:t xml:space="preserve">, </w:t>
      </w:r>
      <w:r w:rsidRPr="00162D29">
        <w:rPr>
          <w:rFonts w:cs="Sylfaen"/>
          <w:lang w:val="ka-GE"/>
        </w:rPr>
        <w:t>ავტორიზებული აფთიაქის</w:t>
      </w:r>
      <w:r w:rsidRPr="00162D29">
        <w:rPr>
          <w:lang w:val="ka-GE"/>
        </w:rPr>
        <w:t xml:space="preserve">, </w:t>
      </w:r>
      <w:r w:rsidRPr="00162D29">
        <w:rPr>
          <w:rFonts w:cs="Sylfaen"/>
          <w:lang w:val="ka-GE"/>
        </w:rPr>
        <w:t>სპეციალურ</w:t>
      </w:r>
      <w:r w:rsidRPr="00162D29">
        <w:rPr>
          <w:lang w:val="ka-GE"/>
        </w:rPr>
        <w:t xml:space="preserve"> </w:t>
      </w:r>
      <w:r w:rsidRPr="00162D29">
        <w:rPr>
          <w:rFonts w:cs="Sylfaen"/>
          <w:lang w:val="ka-GE"/>
        </w:rPr>
        <w:t>კონტროლს</w:t>
      </w:r>
      <w:r w:rsidRPr="00162D29">
        <w:rPr>
          <w:lang w:val="ka-GE"/>
        </w:rPr>
        <w:t xml:space="preserve"> </w:t>
      </w:r>
      <w:r w:rsidRPr="00162D29">
        <w:rPr>
          <w:rFonts w:cs="Sylfaen"/>
          <w:lang w:val="ka-GE"/>
        </w:rPr>
        <w:t>დაქვემდებარებულ</w:t>
      </w:r>
      <w:r w:rsidRPr="00162D29">
        <w:rPr>
          <w:lang w:val="ka-GE"/>
        </w:rPr>
        <w:t xml:space="preserve"> </w:t>
      </w:r>
      <w:r w:rsidRPr="00162D29">
        <w:rPr>
          <w:rFonts w:cs="Sylfaen"/>
          <w:lang w:val="ka-GE"/>
        </w:rPr>
        <w:t>სამკურნალო</w:t>
      </w:r>
      <w:r w:rsidRPr="00162D29">
        <w:rPr>
          <w:lang w:val="ka-GE"/>
        </w:rPr>
        <w:t xml:space="preserve"> </w:t>
      </w:r>
      <w:r w:rsidRPr="00162D29">
        <w:rPr>
          <w:rFonts w:cs="Sylfaen"/>
          <w:lang w:val="ka-GE"/>
        </w:rPr>
        <w:t>საშუალებათა</w:t>
      </w:r>
      <w:r w:rsidRPr="00162D29">
        <w:rPr>
          <w:lang w:val="ka-GE"/>
        </w:rPr>
        <w:t xml:space="preserve"> </w:t>
      </w:r>
      <w:r w:rsidRPr="00162D29">
        <w:rPr>
          <w:rFonts w:cs="Sylfaen"/>
          <w:lang w:val="ka-GE"/>
        </w:rPr>
        <w:t>იმპორტის</w:t>
      </w:r>
      <w:r w:rsidRPr="00162D29">
        <w:rPr>
          <w:lang w:val="ka-GE"/>
        </w:rPr>
        <w:t xml:space="preserve"> </w:t>
      </w:r>
      <w:r w:rsidRPr="00162D29">
        <w:rPr>
          <w:rFonts w:cs="Sylfaen"/>
          <w:lang w:val="ka-GE"/>
        </w:rPr>
        <w:t>ან</w:t>
      </w:r>
      <w:r w:rsidRPr="00162D29">
        <w:rPr>
          <w:lang w:val="ka-GE"/>
        </w:rPr>
        <w:t xml:space="preserve"> </w:t>
      </w:r>
      <w:r w:rsidRPr="00162D29">
        <w:rPr>
          <w:rFonts w:cs="Sylfaen"/>
          <w:lang w:val="ka-GE"/>
        </w:rPr>
        <w:t>ექსპორტის ნებართვების</w:t>
      </w:r>
      <w:r w:rsidRPr="00162D29">
        <w:rPr>
          <w:lang w:val="ka-GE"/>
        </w:rPr>
        <w:t xml:space="preserve"> </w:t>
      </w:r>
      <w:r w:rsidRPr="00162D29">
        <w:rPr>
          <w:rFonts w:cs="Sylfaen"/>
          <w:lang w:val="ka-GE"/>
        </w:rPr>
        <w:t>გაცემის</w:t>
      </w:r>
      <w:r w:rsidRPr="00162D29">
        <w:rPr>
          <w:lang w:val="ka-GE"/>
        </w:rPr>
        <w:t xml:space="preserve"> </w:t>
      </w:r>
      <w:r w:rsidRPr="00162D29">
        <w:rPr>
          <w:rFonts w:cs="Sylfaen"/>
          <w:lang w:val="ka-GE"/>
        </w:rPr>
        <w:t>წესი</w:t>
      </w:r>
      <w:r w:rsidRPr="00162D29">
        <w:rPr>
          <w:lang w:val="ka-GE"/>
        </w:rPr>
        <w:t xml:space="preserve"> </w:t>
      </w:r>
      <w:r w:rsidRPr="00162D29">
        <w:rPr>
          <w:rFonts w:cs="Sylfaen"/>
          <w:lang w:val="ka-GE"/>
        </w:rPr>
        <w:t>და</w:t>
      </w:r>
      <w:r w:rsidRPr="00162D29">
        <w:rPr>
          <w:lang w:val="ka-GE"/>
        </w:rPr>
        <w:t xml:space="preserve"> </w:t>
      </w:r>
      <w:r w:rsidRPr="00162D29">
        <w:rPr>
          <w:rFonts w:cs="Sylfaen"/>
          <w:lang w:val="ka-GE"/>
        </w:rPr>
        <w:t>პირობები</w:t>
      </w:r>
      <w:r>
        <w:rPr>
          <w:rFonts w:cs="Sylfaen"/>
          <w:lang w:val="ka-GE"/>
        </w:rPr>
        <w:t>“</w:t>
      </w:r>
      <w:r w:rsidRPr="00162D29">
        <w:rPr>
          <w:lang w:val="ka-GE"/>
        </w:rPr>
        <w:t>;</w:t>
      </w:r>
    </w:p>
    <w:p w:rsidR="0078177E" w:rsidRPr="00162D29" w:rsidRDefault="0078177E" w:rsidP="0078177E">
      <w:pPr>
        <w:pStyle w:val="ListParagraph"/>
        <w:numPr>
          <w:ilvl w:val="0"/>
          <w:numId w:val="6"/>
        </w:numPr>
        <w:spacing w:after="200" w:line="276" w:lineRule="auto"/>
        <w:ind w:left="780"/>
        <w:jc w:val="both"/>
        <w:rPr>
          <w:lang w:val="ka-GE"/>
        </w:rPr>
      </w:pPr>
      <w:r w:rsidRPr="00162D29">
        <w:rPr>
          <w:rFonts w:cs="Sylfaen"/>
          <w:lang w:val="ka-GE"/>
        </w:rPr>
        <w:t>საქართველოს</w:t>
      </w:r>
      <w:r w:rsidRPr="00162D29">
        <w:rPr>
          <w:lang w:val="ka-GE"/>
        </w:rPr>
        <w:t xml:space="preserve"> </w:t>
      </w:r>
      <w:r w:rsidRPr="00162D29">
        <w:rPr>
          <w:rFonts w:cs="Sylfaen"/>
          <w:lang w:val="ka-GE"/>
        </w:rPr>
        <w:t>ნაციონალური</w:t>
      </w:r>
      <w:r w:rsidRPr="00162D29">
        <w:rPr>
          <w:lang w:val="ka-GE"/>
        </w:rPr>
        <w:t xml:space="preserve"> GMP-</w:t>
      </w:r>
      <w:r w:rsidRPr="00162D29">
        <w:rPr>
          <w:rFonts w:cs="Sylfaen"/>
          <w:lang w:val="ka-GE"/>
        </w:rPr>
        <w:t>ის</w:t>
      </w:r>
      <w:r w:rsidRPr="00162D29">
        <w:rPr>
          <w:lang w:val="ka-GE"/>
        </w:rPr>
        <w:t xml:space="preserve"> (</w:t>
      </w:r>
      <w:r w:rsidRPr="00162D29">
        <w:rPr>
          <w:rFonts w:cs="Sylfaen"/>
          <w:lang w:val="ka-GE"/>
        </w:rPr>
        <w:t>კარგი</w:t>
      </w:r>
      <w:r w:rsidRPr="00162D29">
        <w:rPr>
          <w:lang w:val="ka-GE"/>
        </w:rPr>
        <w:t xml:space="preserve"> </w:t>
      </w:r>
      <w:r w:rsidRPr="00162D29">
        <w:rPr>
          <w:rFonts w:cs="Sylfaen"/>
          <w:lang w:val="ka-GE"/>
        </w:rPr>
        <w:t>საწარმოო</w:t>
      </w:r>
      <w:r w:rsidRPr="00162D29">
        <w:rPr>
          <w:lang w:val="ka-GE"/>
        </w:rPr>
        <w:t xml:space="preserve"> </w:t>
      </w:r>
      <w:r w:rsidRPr="00162D29">
        <w:rPr>
          <w:rFonts w:cs="Sylfaen"/>
          <w:lang w:val="ka-GE"/>
        </w:rPr>
        <w:t>პრაქტიკის</w:t>
      </w:r>
      <w:r w:rsidRPr="00162D29">
        <w:rPr>
          <w:lang w:val="ka-GE"/>
        </w:rPr>
        <w:t xml:space="preserve">) </w:t>
      </w:r>
      <w:r w:rsidRPr="00162D29">
        <w:rPr>
          <w:rFonts w:cs="Sylfaen"/>
          <w:lang w:val="ka-GE"/>
        </w:rPr>
        <w:t>სტანდარტთან</w:t>
      </w:r>
      <w:r w:rsidRPr="00162D29">
        <w:rPr>
          <w:lang w:val="ka-GE"/>
        </w:rPr>
        <w:t xml:space="preserve"> </w:t>
      </w:r>
      <w:r w:rsidRPr="00162D29">
        <w:rPr>
          <w:rFonts w:cs="Sylfaen"/>
          <w:lang w:val="ka-GE"/>
        </w:rPr>
        <w:t>შესაბამისობის დადგენის</w:t>
      </w:r>
      <w:r w:rsidRPr="00162D29">
        <w:rPr>
          <w:lang w:val="ka-GE"/>
        </w:rPr>
        <w:t xml:space="preserve"> </w:t>
      </w:r>
      <w:r w:rsidRPr="00162D29">
        <w:rPr>
          <w:rFonts w:cs="Sylfaen"/>
          <w:lang w:val="ka-GE"/>
        </w:rPr>
        <w:t>და</w:t>
      </w:r>
      <w:r w:rsidRPr="00162D29">
        <w:rPr>
          <w:lang w:val="ka-GE"/>
        </w:rPr>
        <w:t xml:space="preserve"> GMP </w:t>
      </w:r>
      <w:r w:rsidRPr="00162D29">
        <w:rPr>
          <w:rFonts w:cs="Sylfaen"/>
          <w:lang w:val="ka-GE"/>
        </w:rPr>
        <w:t>სერტიფიკატის</w:t>
      </w:r>
      <w:r w:rsidRPr="00162D29">
        <w:rPr>
          <w:lang w:val="ka-GE"/>
        </w:rPr>
        <w:t xml:space="preserve"> </w:t>
      </w:r>
      <w:r w:rsidRPr="00162D29">
        <w:rPr>
          <w:rFonts w:cs="Sylfaen"/>
          <w:lang w:val="ka-GE"/>
        </w:rPr>
        <w:t>გაცემის</w:t>
      </w:r>
      <w:r w:rsidRPr="00162D29">
        <w:rPr>
          <w:lang w:val="ka-GE"/>
        </w:rPr>
        <w:t xml:space="preserve"> </w:t>
      </w:r>
      <w:r w:rsidRPr="00162D29">
        <w:rPr>
          <w:rFonts w:cs="Sylfaen"/>
          <w:lang w:val="ka-GE"/>
        </w:rPr>
        <w:t>წესი</w:t>
      </w:r>
      <w:r w:rsidRPr="00162D29">
        <w:rPr>
          <w:lang w:val="ka-GE"/>
        </w:rPr>
        <w:t xml:space="preserve"> </w:t>
      </w:r>
      <w:r w:rsidRPr="00162D29">
        <w:rPr>
          <w:rFonts w:cs="Sylfaen"/>
          <w:lang w:val="ka-GE"/>
        </w:rPr>
        <w:t>და</w:t>
      </w:r>
      <w:r w:rsidRPr="00162D29">
        <w:rPr>
          <w:lang w:val="ka-GE"/>
        </w:rPr>
        <w:t xml:space="preserve"> </w:t>
      </w:r>
      <w:r w:rsidRPr="00162D29">
        <w:rPr>
          <w:rFonts w:cs="Sylfaen"/>
          <w:lang w:val="ka-GE"/>
        </w:rPr>
        <w:t>საქართველოს</w:t>
      </w:r>
      <w:r w:rsidRPr="00162D29">
        <w:rPr>
          <w:lang w:val="ka-GE"/>
        </w:rPr>
        <w:t xml:space="preserve"> </w:t>
      </w:r>
      <w:r w:rsidRPr="00162D29">
        <w:rPr>
          <w:rFonts w:cs="Sylfaen"/>
          <w:lang w:val="ka-GE"/>
        </w:rPr>
        <w:t>ნაციონალური</w:t>
      </w:r>
      <w:r w:rsidRPr="00162D29">
        <w:rPr>
          <w:lang w:val="ka-GE"/>
        </w:rPr>
        <w:t xml:space="preserve"> GDP-</w:t>
      </w:r>
      <w:r w:rsidRPr="00162D29">
        <w:rPr>
          <w:rFonts w:cs="Sylfaen"/>
          <w:lang w:val="ka-GE"/>
        </w:rPr>
        <w:t>ის</w:t>
      </w:r>
      <w:r w:rsidRPr="00162D29">
        <w:rPr>
          <w:lang w:val="ka-GE"/>
        </w:rPr>
        <w:t xml:space="preserve"> (</w:t>
      </w:r>
      <w:r w:rsidRPr="00162D29">
        <w:rPr>
          <w:rFonts w:cs="Sylfaen"/>
          <w:lang w:val="ka-GE"/>
        </w:rPr>
        <w:t>კარგი სადისტრიბუციო</w:t>
      </w:r>
      <w:r w:rsidRPr="00162D29">
        <w:rPr>
          <w:lang w:val="ka-GE"/>
        </w:rPr>
        <w:t xml:space="preserve"> </w:t>
      </w:r>
      <w:r w:rsidRPr="00162D29">
        <w:rPr>
          <w:rFonts w:cs="Sylfaen"/>
          <w:lang w:val="ka-GE"/>
        </w:rPr>
        <w:t>პრაქტიკის</w:t>
      </w:r>
      <w:r w:rsidRPr="00162D29">
        <w:rPr>
          <w:lang w:val="ka-GE"/>
        </w:rPr>
        <w:t xml:space="preserve">) </w:t>
      </w:r>
      <w:r w:rsidRPr="00162D29">
        <w:rPr>
          <w:rFonts w:cs="Sylfaen"/>
          <w:lang w:val="ka-GE"/>
        </w:rPr>
        <w:t>სტანდარტთან</w:t>
      </w:r>
      <w:r w:rsidRPr="00162D29">
        <w:rPr>
          <w:lang w:val="ka-GE"/>
        </w:rPr>
        <w:t xml:space="preserve"> </w:t>
      </w:r>
      <w:r w:rsidRPr="00162D29">
        <w:rPr>
          <w:rFonts w:cs="Sylfaen"/>
          <w:lang w:val="ka-GE"/>
        </w:rPr>
        <w:t>შესაბამისობის</w:t>
      </w:r>
      <w:r w:rsidRPr="00162D29">
        <w:rPr>
          <w:lang w:val="ka-GE"/>
        </w:rPr>
        <w:t xml:space="preserve"> </w:t>
      </w:r>
      <w:r w:rsidRPr="00162D29">
        <w:rPr>
          <w:rFonts w:cs="Sylfaen"/>
          <w:lang w:val="ka-GE"/>
        </w:rPr>
        <w:t>დადგენის</w:t>
      </w:r>
      <w:r w:rsidRPr="00162D29">
        <w:rPr>
          <w:lang w:val="ka-GE"/>
        </w:rPr>
        <w:t xml:space="preserve"> </w:t>
      </w:r>
      <w:r w:rsidRPr="00162D29">
        <w:rPr>
          <w:rFonts w:cs="Sylfaen"/>
          <w:lang w:val="ka-GE"/>
        </w:rPr>
        <w:t>და</w:t>
      </w:r>
      <w:r w:rsidRPr="00162D29">
        <w:rPr>
          <w:lang w:val="ka-GE"/>
        </w:rPr>
        <w:t xml:space="preserve"> GDP </w:t>
      </w:r>
      <w:r w:rsidRPr="00162D29">
        <w:rPr>
          <w:rFonts w:cs="Sylfaen"/>
          <w:lang w:val="ka-GE"/>
        </w:rPr>
        <w:t>სერტიფიკატის</w:t>
      </w:r>
      <w:r w:rsidRPr="00162D29">
        <w:rPr>
          <w:lang w:val="ka-GE"/>
        </w:rPr>
        <w:t xml:space="preserve"> </w:t>
      </w:r>
      <w:r w:rsidRPr="00162D29">
        <w:rPr>
          <w:rFonts w:cs="Sylfaen"/>
          <w:lang w:val="ka-GE"/>
        </w:rPr>
        <w:t>გაცემის</w:t>
      </w:r>
      <w:r w:rsidRPr="00162D29">
        <w:rPr>
          <w:lang w:val="ka-GE"/>
        </w:rPr>
        <w:t xml:space="preserve"> </w:t>
      </w:r>
      <w:r w:rsidRPr="00162D29">
        <w:rPr>
          <w:rFonts w:cs="Sylfaen"/>
          <w:lang w:val="ka-GE"/>
        </w:rPr>
        <w:t>წესი“</w:t>
      </w:r>
    </w:p>
    <w:p w:rsidR="0078177E" w:rsidRPr="003D18A1" w:rsidRDefault="0078177E" w:rsidP="0078177E">
      <w:pPr>
        <w:pStyle w:val="ListParagraph"/>
        <w:numPr>
          <w:ilvl w:val="0"/>
          <w:numId w:val="6"/>
        </w:numPr>
        <w:spacing w:after="200" w:line="276" w:lineRule="auto"/>
        <w:ind w:left="780"/>
        <w:jc w:val="both"/>
        <w:rPr>
          <w:lang w:val="ka-GE"/>
        </w:rPr>
      </w:pPr>
      <w:r w:rsidRPr="00162D29">
        <w:rPr>
          <w:lang w:val="ka-GE"/>
        </w:rPr>
        <w:t>„</w:t>
      </w:r>
      <w:r w:rsidRPr="00162D29">
        <w:rPr>
          <w:rFonts w:cs="Sylfaen"/>
          <w:lang w:val="ka-GE"/>
        </w:rPr>
        <w:t>ავტორიზებული</w:t>
      </w:r>
      <w:r>
        <w:rPr>
          <w:rFonts w:cs="Sylfaen"/>
          <w:lang w:val="ka-GE"/>
        </w:rPr>
        <w:t xml:space="preserve"> </w:t>
      </w:r>
      <w:r w:rsidRPr="00162D29">
        <w:rPr>
          <w:rFonts w:cs="Sylfaen"/>
          <w:lang w:val="ka-GE"/>
        </w:rPr>
        <w:t>აფთიაქის</w:t>
      </w:r>
      <w:r w:rsidRPr="00162D29">
        <w:rPr>
          <w:lang w:val="ka-GE"/>
        </w:rPr>
        <w:t xml:space="preserve">, </w:t>
      </w:r>
      <w:r w:rsidRPr="00162D29">
        <w:rPr>
          <w:rFonts w:cs="Sylfaen"/>
          <w:lang w:val="ka-GE"/>
        </w:rPr>
        <w:t>ფარმაცევტული</w:t>
      </w:r>
      <w:r w:rsidRPr="00162D29">
        <w:rPr>
          <w:lang w:val="ka-GE"/>
        </w:rPr>
        <w:t xml:space="preserve"> </w:t>
      </w:r>
      <w:r w:rsidRPr="00162D29">
        <w:rPr>
          <w:rFonts w:cs="Sylfaen"/>
          <w:lang w:val="ka-GE"/>
        </w:rPr>
        <w:t>წარმოებისა</w:t>
      </w:r>
      <w:r w:rsidRPr="00162D29">
        <w:rPr>
          <w:lang w:val="ka-GE"/>
        </w:rPr>
        <w:t xml:space="preserve"> </w:t>
      </w:r>
      <w:r w:rsidRPr="00162D29">
        <w:rPr>
          <w:rFonts w:cs="Sylfaen"/>
          <w:lang w:val="ka-GE"/>
        </w:rPr>
        <w:t>და</w:t>
      </w:r>
      <w:r w:rsidRPr="00162D29">
        <w:rPr>
          <w:lang w:val="ka-GE"/>
        </w:rPr>
        <w:t xml:space="preserve"> </w:t>
      </w:r>
      <w:r w:rsidRPr="00162D29">
        <w:rPr>
          <w:rFonts w:cs="Sylfaen"/>
          <w:lang w:val="ka-GE"/>
        </w:rPr>
        <w:t>ფარმაკოლოგიურ</w:t>
      </w:r>
      <w:r w:rsidRPr="00162D29">
        <w:rPr>
          <w:lang w:val="ka-GE"/>
        </w:rPr>
        <w:t xml:space="preserve"> </w:t>
      </w:r>
      <w:r w:rsidRPr="00162D29">
        <w:rPr>
          <w:rFonts w:cs="Sylfaen"/>
          <w:lang w:val="ka-GE"/>
        </w:rPr>
        <w:t>საშუალებათა</w:t>
      </w:r>
      <w:r w:rsidRPr="00162D29">
        <w:rPr>
          <w:lang w:val="ka-GE"/>
        </w:rPr>
        <w:t xml:space="preserve"> </w:t>
      </w:r>
      <w:r w:rsidRPr="00162D29">
        <w:rPr>
          <w:rFonts w:cs="Sylfaen"/>
          <w:lang w:val="ka-GE"/>
        </w:rPr>
        <w:t>კლინიკური კვლევის</w:t>
      </w:r>
      <w:r w:rsidRPr="00162D29">
        <w:rPr>
          <w:lang w:val="ka-GE"/>
        </w:rPr>
        <w:t xml:space="preserve"> </w:t>
      </w:r>
      <w:r w:rsidRPr="00162D29">
        <w:rPr>
          <w:rFonts w:cs="Sylfaen"/>
          <w:lang w:val="ka-GE"/>
        </w:rPr>
        <w:t>სანებართვო</w:t>
      </w:r>
      <w:r w:rsidRPr="00162D29">
        <w:rPr>
          <w:lang w:val="ka-GE"/>
        </w:rPr>
        <w:t xml:space="preserve"> </w:t>
      </w:r>
      <w:r w:rsidRPr="00162D29">
        <w:rPr>
          <w:rFonts w:cs="Sylfaen"/>
          <w:lang w:val="ka-GE"/>
        </w:rPr>
        <w:t>მოწმობის</w:t>
      </w:r>
      <w:r w:rsidRPr="00162D29">
        <w:rPr>
          <w:lang w:val="ka-GE"/>
        </w:rPr>
        <w:t xml:space="preserve"> </w:t>
      </w:r>
      <w:r w:rsidRPr="00162D29">
        <w:rPr>
          <w:rFonts w:cs="Sylfaen"/>
          <w:lang w:val="ka-GE"/>
        </w:rPr>
        <w:t>ფორმები</w:t>
      </w:r>
      <w:r>
        <w:rPr>
          <w:rFonts w:cs="Sylfaen"/>
          <w:lang w:val="ka-GE"/>
        </w:rPr>
        <w:t>“;</w:t>
      </w:r>
    </w:p>
    <w:p w:rsidR="0078177E" w:rsidRPr="003D18A1" w:rsidRDefault="0078177E" w:rsidP="0078177E">
      <w:pPr>
        <w:jc w:val="both"/>
        <w:rPr>
          <w:lang w:val="ka-GE"/>
        </w:rPr>
      </w:pPr>
      <w:r>
        <w:rPr>
          <w:lang w:val="ka-GE"/>
        </w:rPr>
        <w:t xml:space="preserve">8. მომზადდა </w:t>
      </w:r>
      <w:r w:rsidRPr="005E2201">
        <w:rPr>
          <w:lang w:val="ka-GE"/>
        </w:rPr>
        <w:t xml:space="preserve">ბიოთეკის ეროვნული საბჭოს </w:t>
      </w:r>
      <w:r>
        <w:rPr>
          <w:lang w:val="ka-GE"/>
        </w:rPr>
        <w:t xml:space="preserve">ახალი </w:t>
      </w:r>
      <w:r w:rsidRPr="005E2201">
        <w:rPr>
          <w:lang w:val="ka-GE"/>
        </w:rPr>
        <w:t>დებულებ</w:t>
      </w:r>
      <w:r>
        <w:rPr>
          <w:lang w:val="ka-GE"/>
        </w:rPr>
        <w:t>ა;</w:t>
      </w:r>
    </w:p>
    <w:p w:rsidR="0078177E" w:rsidRDefault="0078177E" w:rsidP="0078177E">
      <w:pPr>
        <w:jc w:val="both"/>
        <w:rPr>
          <w:lang w:val="ka-GE"/>
        </w:rPr>
      </w:pPr>
      <w:r>
        <w:rPr>
          <w:lang w:val="ka-GE"/>
        </w:rPr>
        <w:t xml:space="preserve">9. მომზადდა და დამტკიცდა </w:t>
      </w:r>
      <w:r w:rsidRPr="00664C24">
        <w:rPr>
          <w:lang w:val="ka-GE"/>
        </w:rPr>
        <w:t>„ჯანმრთელობის შესახებ ელექტრონული ჩანაწერების სისტემის (EHR) ფუნქციონირებისა და წარმოების წესი</w:t>
      </w:r>
      <w:r>
        <w:rPr>
          <w:lang w:val="ka-GE"/>
        </w:rPr>
        <w:t>“, ასევე, განხორციელდა აქტივობები აღნიშნული სისტემის იმპლემენტაციისათვის (მ.შ. ტერნინგების ორგანიზება/ჩატარება, დამხმარე ინსტრუმენტების მომზადება);</w:t>
      </w:r>
    </w:p>
    <w:p w:rsidR="0078177E" w:rsidRDefault="0078177E" w:rsidP="0078177E">
      <w:pPr>
        <w:jc w:val="both"/>
        <w:rPr>
          <w:lang w:val="ka-GE"/>
        </w:rPr>
      </w:pPr>
      <w:r>
        <w:rPr>
          <w:lang w:val="ka-GE"/>
        </w:rPr>
        <w:t>10. მომზადდა უწყვეტი პროფესიული განათლებისა და პროფესიული რეაბილიტაციის აქტივობების აკრედიტაციის ახალი ინსტრუმენტი;</w:t>
      </w:r>
    </w:p>
    <w:p w:rsidR="0078177E" w:rsidRDefault="0078177E" w:rsidP="0078177E">
      <w:pPr>
        <w:jc w:val="both"/>
        <w:rPr>
          <w:lang w:val="ka-GE"/>
        </w:rPr>
      </w:pPr>
      <w:r>
        <w:rPr>
          <w:lang w:val="ka-GE"/>
        </w:rPr>
        <w:t xml:space="preserve">11. განახლდა </w:t>
      </w:r>
      <w:r w:rsidRPr="003F33ED">
        <w:rPr>
          <w:lang w:val="ka-GE"/>
        </w:rPr>
        <w:t>ერთიანი დიპლომისშემდგომი საკვალიფიკაციო ტესტები პროფილით „მედიცინა“ და „სტომატოლოგია“</w:t>
      </w:r>
      <w:r>
        <w:rPr>
          <w:lang w:val="ka-GE"/>
        </w:rPr>
        <w:t>;</w:t>
      </w:r>
    </w:p>
    <w:p w:rsidR="0078177E" w:rsidRDefault="0078177E" w:rsidP="0078177E">
      <w:pPr>
        <w:jc w:val="both"/>
        <w:rPr>
          <w:lang w:val="ka-GE"/>
        </w:rPr>
      </w:pPr>
      <w:r>
        <w:rPr>
          <w:lang w:val="ka-GE"/>
        </w:rPr>
        <w:lastRenderedPageBreak/>
        <w:t xml:space="preserve">12. განახლდა </w:t>
      </w:r>
      <w:r w:rsidRPr="003F33ED">
        <w:rPr>
          <w:lang w:val="ka-GE"/>
        </w:rPr>
        <w:t>სახელმწიფო სასერტიფიკაციო ტესტ-კითხვარები</w:t>
      </w:r>
      <w:r>
        <w:rPr>
          <w:lang w:val="ka-GE"/>
        </w:rPr>
        <w:t xml:space="preserve"> 10 საექიმო სპეციალობაში;</w:t>
      </w:r>
    </w:p>
    <w:p w:rsidR="0078177E" w:rsidRDefault="0078177E" w:rsidP="0078177E">
      <w:pPr>
        <w:jc w:val="both"/>
        <w:rPr>
          <w:lang w:val="ka-GE"/>
        </w:rPr>
      </w:pPr>
      <w:r>
        <w:rPr>
          <w:lang w:val="ka-GE"/>
        </w:rPr>
        <w:t>13. მომზადდა „</w:t>
      </w:r>
      <w:r w:rsidRPr="000B54ED">
        <w:rPr>
          <w:lang w:val="ka-GE"/>
        </w:rPr>
        <w:t>საექთნო საქმის</w:t>
      </w:r>
      <w:r>
        <w:rPr>
          <w:lang w:val="ka-GE"/>
        </w:rPr>
        <w:t xml:space="preserve"> </w:t>
      </w:r>
      <w:r w:rsidRPr="000B54ED">
        <w:rPr>
          <w:lang w:val="ka-GE"/>
        </w:rPr>
        <w:t>განვითარების სტრატეგი</w:t>
      </w:r>
      <w:r>
        <w:rPr>
          <w:lang w:val="ka-GE"/>
        </w:rPr>
        <w:t xml:space="preserve">ა“  </w:t>
      </w:r>
      <w:r w:rsidRPr="000B54ED">
        <w:rPr>
          <w:lang w:val="ka-GE"/>
        </w:rPr>
        <w:t>(წარდგენილია საქართველოს მთავრობისადმი დასამტკიცებლად);</w:t>
      </w:r>
    </w:p>
    <w:p w:rsidR="0078177E" w:rsidRDefault="0078177E" w:rsidP="0078177E">
      <w:pPr>
        <w:jc w:val="both"/>
        <w:rPr>
          <w:lang w:val="ka-GE"/>
        </w:rPr>
      </w:pPr>
      <w:r>
        <w:rPr>
          <w:lang w:val="ka-GE"/>
        </w:rPr>
        <w:t xml:space="preserve">14. მომზადდა </w:t>
      </w:r>
      <w:r w:rsidRPr="000B54ED">
        <w:rPr>
          <w:lang w:val="ka-GE"/>
        </w:rPr>
        <w:t xml:space="preserve">„სამედიცინო განათლების განვითარების </w:t>
      </w:r>
      <w:r>
        <w:rPr>
          <w:lang w:val="ka-GE"/>
        </w:rPr>
        <w:t>სტრატეგია“ (გადის სამართლებრივ ექსპერტიზას);</w:t>
      </w:r>
    </w:p>
    <w:p w:rsidR="0078177E" w:rsidRDefault="0078177E" w:rsidP="0078177E">
      <w:pPr>
        <w:jc w:val="both"/>
        <w:rPr>
          <w:rFonts w:cs="Sylfaen"/>
          <w:lang w:val="ka-GE"/>
        </w:rPr>
      </w:pPr>
      <w:r>
        <w:rPr>
          <w:lang w:val="ka-GE"/>
        </w:rPr>
        <w:t xml:space="preserve">15. მომზადდა </w:t>
      </w:r>
      <w:r w:rsidRPr="000B54ED">
        <w:rPr>
          <w:lang w:val="ka-GE"/>
        </w:rPr>
        <w:t>,,</w:t>
      </w:r>
      <w:r w:rsidRPr="000B54ED">
        <w:rPr>
          <w:rFonts w:cs="Sylfaen"/>
          <w:lang w:val="ka-GE"/>
        </w:rPr>
        <w:t>გარემოსდაცვით</w:t>
      </w:r>
      <w:r>
        <w:rPr>
          <w:rFonts w:cs="Sylfaen"/>
          <w:lang w:val="ka-GE"/>
        </w:rPr>
        <w:t>ი</w:t>
      </w:r>
      <w:r w:rsidRPr="000B54ED">
        <w:rPr>
          <w:lang w:val="ka-GE"/>
        </w:rPr>
        <w:t xml:space="preserve"> </w:t>
      </w:r>
      <w:r w:rsidRPr="000B54ED">
        <w:rPr>
          <w:rFonts w:cs="Sylfaen"/>
          <w:lang w:val="ka-GE"/>
        </w:rPr>
        <w:t>შეფასების</w:t>
      </w:r>
      <w:r>
        <w:rPr>
          <w:rFonts w:cs="Sylfaen"/>
          <w:lang w:val="ka-GE"/>
        </w:rPr>
        <w:t xml:space="preserve"> </w:t>
      </w:r>
      <w:r w:rsidRPr="000B54ED">
        <w:rPr>
          <w:rFonts w:cs="Sylfaen"/>
          <w:lang w:val="ka-GE"/>
        </w:rPr>
        <w:t>სფეროში</w:t>
      </w:r>
      <w:r w:rsidRPr="000B54ED">
        <w:rPr>
          <w:lang w:val="ka-GE"/>
        </w:rPr>
        <w:t xml:space="preserve">, </w:t>
      </w:r>
      <w:r w:rsidRPr="000B54ED">
        <w:rPr>
          <w:rFonts w:cs="Sylfaen"/>
          <w:lang w:val="ka-GE"/>
        </w:rPr>
        <w:t>ადამიანის</w:t>
      </w:r>
      <w:r w:rsidRPr="000B54ED">
        <w:rPr>
          <w:lang w:val="ka-GE"/>
        </w:rPr>
        <w:t xml:space="preserve"> </w:t>
      </w:r>
      <w:r w:rsidRPr="000B54ED">
        <w:rPr>
          <w:rFonts w:cs="Sylfaen"/>
          <w:lang w:val="ka-GE"/>
        </w:rPr>
        <w:t>ჯანმრთელობაზე</w:t>
      </w:r>
      <w:r w:rsidRPr="000B54ED">
        <w:rPr>
          <w:lang w:val="ka-GE"/>
        </w:rPr>
        <w:t xml:space="preserve"> </w:t>
      </w:r>
      <w:r w:rsidRPr="000B54ED">
        <w:rPr>
          <w:rFonts w:cs="Sylfaen"/>
          <w:lang w:val="ka-GE"/>
        </w:rPr>
        <w:t>ზემოქმედების</w:t>
      </w:r>
      <w:r w:rsidRPr="000B54ED">
        <w:rPr>
          <w:lang w:val="ka-GE"/>
        </w:rPr>
        <w:t xml:space="preserve"> </w:t>
      </w:r>
      <w:r w:rsidRPr="000B54ED">
        <w:rPr>
          <w:rFonts w:cs="Sylfaen"/>
          <w:lang w:val="ka-GE"/>
        </w:rPr>
        <w:t>შეფასების</w:t>
      </w:r>
      <w:r w:rsidRPr="000B54ED">
        <w:rPr>
          <w:lang w:val="ka-GE"/>
        </w:rPr>
        <w:t xml:space="preserve"> </w:t>
      </w:r>
      <w:r w:rsidRPr="000B54ED">
        <w:rPr>
          <w:rFonts w:cs="Sylfaen"/>
          <w:lang w:val="ka-GE"/>
        </w:rPr>
        <w:t>წესი</w:t>
      </w:r>
      <w:r>
        <w:rPr>
          <w:rFonts w:cs="Sylfaen"/>
          <w:lang w:val="ka-GE"/>
        </w:rPr>
        <w:t xml:space="preserve">“ </w:t>
      </w:r>
      <w:r w:rsidRPr="007764EF">
        <w:rPr>
          <w:rFonts w:cs="Sylfaen"/>
          <w:lang w:val="ka-GE"/>
        </w:rPr>
        <w:t>(წარდგენილია საქართველოს მთავრობისადმი დასამტკიცებლად);</w:t>
      </w:r>
    </w:p>
    <w:p w:rsidR="0078177E" w:rsidRDefault="0078177E" w:rsidP="0078177E">
      <w:pPr>
        <w:jc w:val="both"/>
        <w:rPr>
          <w:rFonts w:cs="Sylfaen"/>
          <w:lang w:val="ka-GE"/>
        </w:rPr>
      </w:pPr>
      <w:r>
        <w:rPr>
          <w:rFonts w:cs="Sylfaen"/>
          <w:lang w:val="ka-GE"/>
        </w:rPr>
        <w:t xml:space="preserve">16. </w:t>
      </w:r>
      <w:r w:rsidRPr="00DA68A1">
        <w:rPr>
          <w:rFonts w:cs="Sylfaen"/>
          <w:lang w:val="ka-GE"/>
        </w:rPr>
        <w:t>ევროკავშირთან ასოცირების ფარგლებში აღებული ვალდებულებების (</w:t>
      </w:r>
      <w:r>
        <w:rPr>
          <w:rFonts w:cs="Sylfaen"/>
          <w:lang w:val="ka-GE"/>
        </w:rPr>
        <w:t>უჯრედების, ქსოვილების და ორგანოების გადანერგვის სფეროში მოქმედი ევროდირექტივები</w:t>
      </w:r>
      <w:r w:rsidRPr="00DA68A1">
        <w:rPr>
          <w:rFonts w:cs="Sylfaen"/>
          <w:lang w:val="ka-GE"/>
        </w:rPr>
        <w:t xml:space="preserve">) </w:t>
      </w:r>
      <w:r>
        <w:rPr>
          <w:rFonts w:cs="Sylfaen"/>
          <w:lang w:val="ka-GE"/>
        </w:rPr>
        <w:t>შესრულების მიზნით, ევროკავშირთან მჭიდრო თანამშრომლობით მომზადდა:</w:t>
      </w:r>
    </w:p>
    <w:p w:rsidR="0078177E" w:rsidRDefault="0078177E" w:rsidP="0078177E">
      <w:pPr>
        <w:pStyle w:val="ListParagraph"/>
        <w:numPr>
          <w:ilvl w:val="0"/>
          <w:numId w:val="7"/>
        </w:numPr>
        <w:spacing w:after="200" w:line="276" w:lineRule="auto"/>
        <w:jc w:val="both"/>
        <w:rPr>
          <w:lang w:val="ka-GE"/>
        </w:rPr>
      </w:pPr>
      <w:r w:rsidRPr="00DA68A1">
        <w:rPr>
          <w:lang w:val="ka-GE"/>
        </w:rPr>
        <w:t>„ორგანოთა გადანერგის შესახებ“ საქართველოს კანონპროექტი</w:t>
      </w:r>
      <w:r>
        <w:rPr>
          <w:lang w:val="ka-GE"/>
        </w:rPr>
        <w:t>;</w:t>
      </w:r>
    </w:p>
    <w:p w:rsidR="0078177E" w:rsidRDefault="0078177E" w:rsidP="0078177E">
      <w:pPr>
        <w:pStyle w:val="ListParagraph"/>
        <w:numPr>
          <w:ilvl w:val="0"/>
          <w:numId w:val="7"/>
        </w:numPr>
        <w:spacing w:after="200" w:line="276" w:lineRule="auto"/>
        <w:jc w:val="both"/>
        <w:rPr>
          <w:lang w:val="ka-GE"/>
        </w:rPr>
      </w:pPr>
      <w:r>
        <w:rPr>
          <w:lang w:val="ka-GE"/>
        </w:rPr>
        <w:t xml:space="preserve"> </w:t>
      </w:r>
      <w:r w:rsidRPr="00DA68A1">
        <w:rPr>
          <w:lang w:val="ka-GE"/>
        </w:rPr>
        <w:t>„უჯრედებისა და ქსოვილების გადანერგვის შესახებ“ საქართველოს კანონპროეტი</w:t>
      </w:r>
      <w:r>
        <w:rPr>
          <w:lang w:val="ka-GE"/>
        </w:rPr>
        <w:t>;</w:t>
      </w:r>
    </w:p>
    <w:p w:rsidR="0078177E" w:rsidRPr="00DA68A1" w:rsidRDefault="0078177E" w:rsidP="0078177E">
      <w:pPr>
        <w:pStyle w:val="ListParagraph"/>
        <w:numPr>
          <w:ilvl w:val="0"/>
          <w:numId w:val="7"/>
        </w:numPr>
        <w:spacing w:after="200" w:line="276" w:lineRule="auto"/>
        <w:jc w:val="both"/>
        <w:rPr>
          <w:lang w:val="ka-GE"/>
        </w:rPr>
      </w:pPr>
      <w:r>
        <w:rPr>
          <w:lang w:val="ka-GE"/>
        </w:rPr>
        <w:t xml:space="preserve">2019-2020 წლების </w:t>
      </w:r>
      <w:r w:rsidRPr="00DA68A1">
        <w:rPr>
          <w:lang w:val="ka-GE"/>
        </w:rPr>
        <w:t>ტექნიკური დ</w:t>
      </w:r>
      <w:r>
        <w:rPr>
          <w:lang w:val="ka-GE"/>
        </w:rPr>
        <w:t>ა</w:t>
      </w:r>
      <w:r w:rsidRPr="00DA68A1">
        <w:rPr>
          <w:lang w:val="ka-GE"/>
        </w:rPr>
        <w:t>ხმა</w:t>
      </w:r>
      <w:r>
        <w:rPr>
          <w:lang w:val="ka-GE"/>
        </w:rPr>
        <w:t>რ</w:t>
      </w:r>
      <w:r w:rsidRPr="00DA68A1">
        <w:rPr>
          <w:lang w:val="ka-GE"/>
        </w:rPr>
        <w:t>ების თაობაზე საპროექტო განაცხადი</w:t>
      </w:r>
      <w:r>
        <w:rPr>
          <w:lang w:val="ka-GE"/>
        </w:rPr>
        <w:t xml:space="preserve"> (გაგზავნილია ევროკავშირში და მიმდინარეობს იმპლემენტაცია);</w:t>
      </w:r>
    </w:p>
    <w:p w:rsidR="0078177E" w:rsidRDefault="0078177E" w:rsidP="0078177E">
      <w:pPr>
        <w:jc w:val="both"/>
        <w:rPr>
          <w:lang w:val="ka-GE"/>
        </w:rPr>
      </w:pPr>
      <w:r w:rsidRPr="007764EF">
        <w:rPr>
          <w:lang w:val="ka-GE"/>
        </w:rPr>
        <w:t>1</w:t>
      </w:r>
      <w:r>
        <w:rPr>
          <w:lang w:val="ka-GE"/>
        </w:rPr>
        <w:t>7</w:t>
      </w:r>
      <w:r w:rsidRPr="007764EF">
        <w:rPr>
          <w:lang w:val="ka-GE"/>
        </w:rPr>
        <w:t>.</w:t>
      </w:r>
      <w:r>
        <w:rPr>
          <w:lang w:val="ka-GE"/>
        </w:rPr>
        <w:t xml:space="preserve"> მომზადდა </w:t>
      </w:r>
      <w:r w:rsidRPr="0035511E">
        <w:rPr>
          <w:lang w:val="ka-GE"/>
        </w:rPr>
        <w:t>სავალდებულო პროფილაქტიკურ იმუნიზაციას დაქვემდებარებულ საქმიანობათა ნუსხ</w:t>
      </w:r>
      <w:r>
        <w:rPr>
          <w:lang w:val="ka-GE"/>
        </w:rPr>
        <w:t>ა;</w:t>
      </w:r>
    </w:p>
    <w:p w:rsidR="0078177E" w:rsidRDefault="0078177E" w:rsidP="0078177E">
      <w:pPr>
        <w:jc w:val="both"/>
        <w:rPr>
          <w:lang w:val="ka-GE"/>
        </w:rPr>
      </w:pPr>
      <w:r>
        <w:rPr>
          <w:lang w:val="ka-GE"/>
        </w:rPr>
        <w:t xml:space="preserve">18. რუტინულ რეჟიმში ხორციელდება </w:t>
      </w:r>
      <w:r w:rsidRPr="000B54ED">
        <w:rPr>
          <w:lang w:val="ka-GE"/>
        </w:rPr>
        <w:t xml:space="preserve">სტაციონარულ დაწესებულებებში ინფექციური კონტროლის ღონისძიებების </w:t>
      </w:r>
      <w:r>
        <w:rPr>
          <w:lang w:val="ka-GE"/>
        </w:rPr>
        <w:t>მონიტორინგი;</w:t>
      </w:r>
    </w:p>
    <w:p w:rsidR="0078177E" w:rsidRDefault="0078177E" w:rsidP="0078177E">
      <w:pPr>
        <w:jc w:val="both"/>
        <w:rPr>
          <w:lang w:val="ka-GE"/>
        </w:rPr>
      </w:pPr>
      <w:r>
        <w:rPr>
          <w:lang w:val="ka-GE"/>
        </w:rPr>
        <w:t>19. გაიდლაინების საბჭოს ფორმატში აღიარებული იქნა 35 გაიდლაინი-პროტოკოლი.</w:t>
      </w:r>
    </w:p>
    <w:p w:rsidR="0078177E" w:rsidRDefault="0078177E" w:rsidP="0078177E">
      <w:pPr>
        <w:jc w:val="both"/>
        <w:rPr>
          <w:lang w:val="ka-GE"/>
        </w:rPr>
      </w:pPr>
      <w:r>
        <w:rPr>
          <w:lang w:val="ka-GE"/>
        </w:rPr>
        <w:t xml:space="preserve">20. მუდმივ რეჟიმში ხორციელდება </w:t>
      </w:r>
      <w:r w:rsidRPr="003D18A1">
        <w:rPr>
          <w:lang w:val="ka-GE"/>
        </w:rPr>
        <w:t>საექიმო სპეციალობათა პროფესიული კომპეტენციების</w:t>
      </w:r>
      <w:r>
        <w:rPr>
          <w:lang w:val="ka-GE"/>
        </w:rPr>
        <w:t xml:space="preserve"> მომზადება (2018 წელს დამტკიცდა პროფესიული კომპეტენციები 4 საექიმო სპეციალობაში);</w:t>
      </w:r>
    </w:p>
    <w:p w:rsidR="0078177E" w:rsidRPr="00AA3171" w:rsidRDefault="0078177E" w:rsidP="0078177E">
      <w:pPr>
        <w:jc w:val="both"/>
        <w:rPr>
          <w:lang w:val="ka-GE"/>
        </w:rPr>
      </w:pPr>
      <w:r>
        <w:rPr>
          <w:lang w:val="ka-GE"/>
        </w:rPr>
        <w:t>21. მუდმივ რეჟიმში ხორციელდება საექიმო სუბსპეციალობების პროგრამების მომზადება/განახლება.</w:t>
      </w:r>
    </w:p>
    <w:p w:rsidR="0078177E" w:rsidRPr="00AA3171" w:rsidRDefault="0078177E" w:rsidP="0078177E">
      <w:pPr>
        <w:pStyle w:val="ListParagraph"/>
        <w:rPr>
          <w:lang w:val="ka-GE"/>
        </w:rPr>
      </w:pPr>
    </w:p>
    <w:p w:rsidR="0078177E" w:rsidRPr="0078177E" w:rsidRDefault="0078177E" w:rsidP="0078177E">
      <w:pPr>
        <w:jc w:val="both"/>
        <w:rPr>
          <w:lang w:val="ka-GE"/>
        </w:rPr>
      </w:pPr>
    </w:p>
    <w:sectPr w:rsidR="0078177E" w:rsidRPr="0078177E" w:rsidSect="0015402C">
      <w:pgSz w:w="12240" w:h="15840"/>
      <w:pgMar w:top="810" w:right="850" w:bottom="1134"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9C4" w:rsidRDefault="00C619C4" w:rsidP="0015402C">
      <w:pPr>
        <w:spacing w:after="0" w:line="240" w:lineRule="auto"/>
      </w:pPr>
      <w:r>
        <w:separator/>
      </w:r>
    </w:p>
  </w:endnote>
  <w:endnote w:type="continuationSeparator" w:id="0">
    <w:p w:rsidR="00C619C4" w:rsidRDefault="00C619C4" w:rsidP="0015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9C4" w:rsidRDefault="00C619C4" w:rsidP="0015402C">
      <w:pPr>
        <w:spacing w:after="0" w:line="240" w:lineRule="auto"/>
      </w:pPr>
      <w:r>
        <w:separator/>
      </w:r>
    </w:p>
  </w:footnote>
  <w:footnote w:type="continuationSeparator" w:id="0">
    <w:p w:rsidR="00C619C4" w:rsidRDefault="00C619C4" w:rsidP="00154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33884"/>
    <w:multiLevelType w:val="hybridMultilevel"/>
    <w:tmpl w:val="716CC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1E3792"/>
    <w:multiLevelType w:val="hybridMultilevel"/>
    <w:tmpl w:val="50540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040AC"/>
    <w:multiLevelType w:val="hybridMultilevel"/>
    <w:tmpl w:val="9F888D76"/>
    <w:lvl w:ilvl="0" w:tplc="19DA4A44">
      <w:start w:val="2019"/>
      <w:numFmt w:val="bullet"/>
      <w:lvlText w:val="-"/>
      <w:lvlJc w:val="left"/>
      <w:pPr>
        <w:ind w:left="405" w:hanging="360"/>
      </w:pPr>
      <w:rPr>
        <w:rFonts w:ascii="Sylfaen" w:eastAsiaTheme="minorEastAsia" w:hAnsi="Sylfaen" w:cs="Sylfae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2F6022D3"/>
    <w:multiLevelType w:val="hybridMultilevel"/>
    <w:tmpl w:val="B6B82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13F02"/>
    <w:multiLevelType w:val="hybridMultilevel"/>
    <w:tmpl w:val="CFD810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9745FA9"/>
    <w:multiLevelType w:val="hybridMultilevel"/>
    <w:tmpl w:val="93E8A7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E6714"/>
    <w:multiLevelType w:val="hybridMultilevel"/>
    <w:tmpl w:val="4BF45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BC643A"/>
    <w:multiLevelType w:val="hybridMultilevel"/>
    <w:tmpl w:val="8E06E170"/>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0E"/>
    <w:rsid w:val="00063D09"/>
    <w:rsid w:val="000E1006"/>
    <w:rsid w:val="0015402C"/>
    <w:rsid w:val="00254DAF"/>
    <w:rsid w:val="002B7218"/>
    <w:rsid w:val="00602CB9"/>
    <w:rsid w:val="00622C0E"/>
    <w:rsid w:val="006D0058"/>
    <w:rsid w:val="0078177E"/>
    <w:rsid w:val="00836865"/>
    <w:rsid w:val="009D0F23"/>
    <w:rsid w:val="00A529DA"/>
    <w:rsid w:val="00C619C4"/>
    <w:rsid w:val="00D7501D"/>
    <w:rsid w:val="00DE28F2"/>
    <w:rsid w:val="00E47EFC"/>
    <w:rsid w:val="00E9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3B21"/>
  <w15:chartTrackingRefBased/>
  <w15:docId w15:val="{DF6E326F-5B55-4A70-B3DF-1B4D5731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22C0E"/>
    <w:pPr>
      <w:ind w:left="720"/>
      <w:contextualSpacing/>
    </w:pPr>
  </w:style>
  <w:style w:type="paragraph" w:customStyle="1" w:styleId="Normal0">
    <w:name w:val="[Normal]"/>
    <w:uiPriority w:val="99"/>
    <w:rsid w:val="000E1006"/>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customStyle="1" w:styleId="5yl5">
    <w:name w:val="_5yl5"/>
    <w:basedOn w:val="DefaultParagraphFont"/>
    <w:rsid w:val="006D005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78177E"/>
    <w:rPr>
      <w:noProof/>
    </w:rPr>
  </w:style>
  <w:style w:type="paragraph" w:styleId="Header">
    <w:name w:val="header"/>
    <w:basedOn w:val="Normal"/>
    <w:link w:val="HeaderChar"/>
    <w:uiPriority w:val="99"/>
    <w:unhideWhenUsed/>
    <w:rsid w:val="0015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02C"/>
    <w:rPr>
      <w:noProof/>
    </w:rPr>
  </w:style>
  <w:style w:type="paragraph" w:styleId="Footer">
    <w:name w:val="footer"/>
    <w:basedOn w:val="Normal"/>
    <w:link w:val="FooterChar"/>
    <w:uiPriority w:val="99"/>
    <w:unhideWhenUsed/>
    <w:rsid w:val="0015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02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002485">
      <w:bodyDiv w:val="1"/>
      <w:marLeft w:val="0"/>
      <w:marRight w:val="0"/>
      <w:marTop w:val="0"/>
      <w:marBottom w:val="0"/>
      <w:divBdr>
        <w:top w:val="none" w:sz="0" w:space="0" w:color="auto"/>
        <w:left w:val="none" w:sz="0" w:space="0" w:color="auto"/>
        <w:bottom w:val="none" w:sz="0" w:space="0" w:color="auto"/>
        <w:right w:val="none" w:sz="0" w:space="0" w:color="auto"/>
      </w:divBdr>
      <w:divsChild>
        <w:div w:id="1623458194">
          <w:marLeft w:val="0"/>
          <w:marRight w:val="0"/>
          <w:marTop w:val="0"/>
          <w:marBottom w:val="0"/>
          <w:divBdr>
            <w:top w:val="none" w:sz="0" w:space="0" w:color="auto"/>
            <w:left w:val="none" w:sz="0" w:space="0" w:color="auto"/>
            <w:bottom w:val="none" w:sz="0" w:space="0" w:color="auto"/>
            <w:right w:val="none" w:sz="0" w:space="0" w:color="auto"/>
          </w:divBdr>
          <w:divsChild>
            <w:div w:id="1760297263">
              <w:marLeft w:val="0"/>
              <w:marRight w:val="0"/>
              <w:marTop w:val="0"/>
              <w:marBottom w:val="0"/>
              <w:divBdr>
                <w:top w:val="none" w:sz="0" w:space="0" w:color="auto"/>
                <w:left w:val="none" w:sz="0" w:space="0" w:color="auto"/>
                <w:bottom w:val="none" w:sz="0" w:space="0" w:color="auto"/>
                <w:right w:val="none" w:sz="0" w:space="0" w:color="auto"/>
              </w:divBdr>
              <w:divsChild>
                <w:div w:id="478809809">
                  <w:marLeft w:val="0"/>
                  <w:marRight w:val="0"/>
                  <w:marTop w:val="0"/>
                  <w:marBottom w:val="0"/>
                  <w:divBdr>
                    <w:top w:val="none" w:sz="0" w:space="0" w:color="auto"/>
                    <w:left w:val="none" w:sz="0" w:space="0" w:color="auto"/>
                    <w:bottom w:val="none" w:sz="0" w:space="0" w:color="auto"/>
                    <w:right w:val="none" w:sz="0" w:space="0" w:color="auto"/>
                  </w:divBdr>
                  <w:divsChild>
                    <w:div w:id="464927225">
                      <w:marLeft w:val="0"/>
                      <w:marRight w:val="0"/>
                      <w:marTop w:val="0"/>
                      <w:marBottom w:val="0"/>
                      <w:divBdr>
                        <w:top w:val="none" w:sz="0" w:space="0" w:color="auto"/>
                        <w:left w:val="none" w:sz="0" w:space="0" w:color="auto"/>
                        <w:bottom w:val="none" w:sz="0" w:space="0" w:color="auto"/>
                        <w:right w:val="none" w:sz="0" w:space="0" w:color="auto"/>
                      </w:divBdr>
                      <w:divsChild>
                        <w:div w:id="972950049">
                          <w:marLeft w:val="0"/>
                          <w:marRight w:val="0"/>
                          <w:marTop w:val="0"/>
                          <w:marBottom w:val="0"/>
                          <w:divBdr>
                            <w:top w:val="none" w:sz="0" w:space="0" w:color="auto"/>
                            <w:left w:val="none" w:sz="0" w:space="0" w:color="auto"/>
                            <w:bottom w:val="none" w:sz="0" w:space="0" w:color="auto"/>
                            <w:right w:val="none" w:sz="0" w:space="0" w:color="auto"/>
                          </w:divBdr>
                          <w:divsChild>
                            <w:div w:id="1872112448">
                              <w:marLeft w:val="0"/>
                              <w:marRight w:val="0"/>
                              <w:marTop w:val="0"/>
                              <w:marBottom w:val="0"/>
                              <w:divBdr>
                                <w:top w:val="none" w:sz="0" w:space="0" w:color="auto"/>
                                <w:left w:val="none" w:sz="0" w:space="0" w:color="auto"/>
                                <w:bottom w:val="none" w:sz="0" w:space="0" w:color="auto"/>
                                <w:right w:val="none" w:sz="0" w:space="0" w:color="auto"/>
                              </w:divBdr>
                              <w:divsChild>
                                <w:div w:id="181868625">
                                  <w:marLeft w:val="0"/>
                                  <w:marRight w:val="0"/>
                                  <w:marTop w:val="0"/>
                                  <w:marBottom w:val="0"/>
                                  <w:divBdr>
                                    <w:top w:val="none" w:sz="0" w:space="0" w:color="auto"/>
                                    <w:left w:val="none" w:sz="0" w:space="0" w:color="auto"/>
                                    <w:bottom w:val="none" w:sz="0" w:space="0" w:color="auto"/>
                                    <w:right w:val="none" w:sz="0" w:space="0" w:color="auto"/>
                                  </w:divBdr>
                                  <w:divsChild>
                                    <w:div w:id="104969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684534">
          <w:marLeft w:val="0"/>
          <w:marRight w:val="0"/>
          <w:marTop w:val="0"/>
          <w:marBottom w:val="0"/>
          <w:divBdr>
            <w:top w:val="none" w:sz="0" w:space="0" w:color="auto"/>
            <w:left w:val="none" w:sz="0" w:space="0" w:color="auto"/>
            <w:bottom w:val="none" w:sz="0" w:space="0" w:color="auto"/>
            <w:right w:val="none" w:sz="0" w:space="0" w:color="auto"/>
          </w:divBdr>
          <w:divsChild>
            <w:div w:id="1056662325">
              <w:marLeft w:val="0"/>
              <w:marRight w:val="0"/>
              <w:marTop w:val="0"/>
              <w:marBottom w:val="0"/>
              <w:divBdr>
                <w:top w:val="none" w:sz="0" w:space="0" w:color="auto"/>
                <w:left w:val="none" w:sz="0" w:space="0" w:color="auto"/>
                <w:bottom w:val="none" w:sz="0" w:space="0" w:color="auto"/>
                <w:right w:val="none" w:sz="0" w:space="0" w:color="auto"/>
              </w:divBdr>
              <w:divsChild>
                <w:div w:id="1763842708">
                  <w:marLeft w:val="0"/>
                  <w:marRight w:val="0"/>
                  <w:marTop w:val="0"/>
                  <w:marBottom w:val="0"/>
                  <w:divBdr>
                    <w:top w:val="none" w:sz="0" w:space="0" w:color="auto"/>
                    <w:left w:val="none" w:sz="0" w:space="0" w:color="auto"/>
                    <w:bottom w:val="none" w:sz="0" w:space="0" w:color="auto"/>
                    <w:right w:val="none" w:sz="0" w:space="0" w:color="auto"/>
                  </w:divBdr>
                  <w:divsChild>
                    <w:div w:id="648483090">
                      <w:marLeft w:val="0"/>
                      <w:marRight w:val="0"/>
                      <w:marTop w:val="0"/>
                      <w:marBottom w:val="0"/>
                      <w:divBdr>
                        <w:top w:val="none" w:sz="0" w:space="0" w:color="auto"/>
                        <w:left w:val="none" w:sz="0" w:space="0" w:color="auto"/>
                        <w:bottom w:val="none" w:sz="0" w:space="0" w:color="auto"/>
                        <w:right w:val="none" w:sz="0" w:space="0" w:color="auto"/>
                      </w:divBdr>
                      <w:divsChild>
                        <w:div w:id="912859449">
                          <w:marLeft w:val="0"/>
                          <w:marRight w:val="0"/>
                          <w:marTop w:val="0"/>
                          <w:marBottom w:val="0"/>
                          <w:divBdr>
                            <w:top w:val="none" w:sz="0" w:space="0" w:color="auto"/>
                            <w:left w:val="none" w:sz="0" w:space="0" w:color="auto"/>
                            <w:bottom w:val="none" w:sz="0" w:space="0" w:color="auto"/>
                            <w:right w:val="none" w:sz="0" w:space="0" w:color="auto"/>
                          </w:divBdr>
                          <w:divsChild>
                            <w:div w:id="1960531859">
                              <w:marLeft w:val="0"/>
                              <w:marRight w:val="0"/>
                              <w:marTop w:val="0"/>
                              <w:marBottom w:val="0"/>
                              <w:divBdr>
                                <w:top w:val="none" w:sz="0" w:space="0" w:color="auto"/>
                                <w:left w:val="none" w:sz="0" w:space="0" w:color="auto"/>
                                <w:bottom w:val="none" w:sz="0" w:space="0" w:color="auto"/>
                                <w:right w:val="none" w:sz="0" w:space="0" w:color="auto"/>
                              </w:divBdr>
                              <w:divsChild>
                                <w:div w:id="394397379">
                                  <w:marLeft w:val="0"/>
                                  <w:marRight w:val="0"/>
                                  <w:marTop w:val="0"/>
                                  <w:marBottom w:val="0"/>
                                  <w:divBdr>
                                    <w:top w:val="none" w:sz="0" w:space="0" w:color="auto"/>
                                    <w:left w:val="none" w:sz="0" w:space="0" w:color="auto"/>
                                    <w:bottom w:val="none" w:sz="0" w:space="0" w:color="auto"/>
                                    <w:right w:val="none" w:sz="0" w:space="0" w:color="auto"/>
                                  </w:divBdr>
                                  <w:divsChild>
                                    <w:div w:id="11399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395213">
          <w:marLeft w:val="0"/>
          <w:marRight w:val="0"/>
          <w:marTop w:val="0"/>
          <w:marBottom w:val="0"/>
          <w:divBdr>
            <w:top w:val="none" w:sz="0" w:space="0" w:color="auto"/>
            <w:left w:val="none" w:sz="0" w:space="0" w:color="auto"/>
            <w:bottom w:val="none" w:sz="0" w:space="0" w:color="auto"/>
            <w:right w:val="none" w:sz="0" w:space="0" w:color="auto"/>
          </w:divBdr>
          <w:divsChild>
            <w:div w:id="1703356846">
              <w:marLeft w:val="0"/>
              <w:marRight w:val="0"/>
              <w:marTop w:val="0"/>
              <w:marBottom w:val="0"/>
              <w:divBdr>
                <w:top w:val="none" w:sz="0" w:space="0" w:color="auto"/>
                <w:left w:val="none" w:sz="0" w:space="0" w:color="auto"/>
                <w:bottom w:val="none" w:sz="0" w:space="0" w:color="auto"/>
                <w:right w:val="none" w:sz="0" w:space="0" w:color="auto"/>
              </w:divBdr>
              <w:divsChild>
                <w:div w:id="979309245">
                  <w:marLeft w:val="0"/>
                  <w:marRight w:val="0"/>
                  <w:marTop w:val="0"/>
                  <w:marBottom w:val="0"/>
                  <w:divBdr>
                    <w:top w:val="none" w:sz="0" w:space="0" w:color="auto"/>
                    <w:left w:val="none" w:sz="0" w:space="0" w:color="auto"/>
                    <w:bottom w:val="none" w:sz="0" w:space="0" w:color="auto"/>
                    <w:right w:val="none" w:sz="0" w:space="0" w:color="auto"/>
                  </w:divBdr>
                  <w:divsChild>
                    <w:div w:id="736822908">
                      <w:marLeft w:val="0"/>
                      <w:marRight w:val="0"/>
                      <w:marTop w:val="0"/>
                      <w:marBottom w:val="0"/>
                      <w:divBdr>
                        <w:top w:val="none" w:sz="0" w:space="0" w:color="auto"/>
                        <w:left w:val="none" w:sz="0" w:space="0" w:color="auto"/>
                        <w:bottom w:val="none" w:sz="0" w:space="0" w:color="auto"/>
                        <w:right w:val="none" w:sz="0" w:space="0" w:color="auto"/>
                      </w:divBdr>
                      <w:divsChild>
                        <w:div w:id="314114439">
                          <w:marLeft w:val="0"/>
                          <w:marRight w:val="0"/>
                          <w:marTop w:val="0"/>
                          <w:marBottom w:val="0"/>
                          <w:divBdr>
                            <w:top w:val="none" w:sz="0" w:space="0" w:color="auto"/>
                            <w:left w:val="none" w:sz="0" w:space="0" w:color="auto"/>
                            <w:bottom w:val="none" w:sz="0" w:space="0" w:color="auto"/>
                            <w:right w:val="none" w:sz="0" w:space="0" w:color="auto"/>
                          </w:divBdr>
                          <w:divsChild>
                            <w:div w:id="2045053416">
                              <w:marLeft w:val="0"/>
                              <w:marRight w:val="0"/>
                              <w:marTop w:val="0"/>
                              <w:marBottom w:val="0"/>
                              <w:divBdr>
                                <w:top w:val="none" w:sz="0" w:space="0" w:color="auto"/>
                                <w:left w:val="none" w:sz="0" w:space="0" w:color="auto"/>
                                <w:bottom w:val="none" w:sz="0" w:space="0" w:color="auto"/>
                                <w:right w:val="none" w:sz="0" w:space="0" w:color="auto"/>
                              </w:divBdr>
                              <w:divsChild>
                                <w:div w:id="1814904392">
                                  <w:marLeft w:val="0"/>
                                  <w:marRight w:val="0"/>
                                  <w:marTop w:val="0"/>
                                  <w:marBottom w:val="0"/>
                                  <w:divBdr>
                                    <w:top w:val="none" w:sz="0" w:space="0" w:color="auto"/>
                                    <w:left w:val="none" w:sz="0" w:space="0" w:color="auto"/>
                                    <w:bottom w:val="none" w:sz="0" w:space="0" w:color="auto"/>
                                    <w:right w:val="none" w:sz="0" w:space="0" w:color="auto"/>
                                  </w:divBdr>
                                  <w:divsChild>
                                    <w:div w:id="5790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CF358-5D33-405B-AF2A-E4501F09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Sopo Belkania</cp:lastModifiedBy>
  <cp:revision>4</cp:revision>
  <dcterms:created xsi:type="dcterms:W3CDTF">2019-07-04T05:40:00Z</dcterms:created>
  <dcterms:modified xsi:type="dcterms:W3CDTF">2019-07-05T07:25:00Z</dcterms:modified>
</cp:coreProperties>
</file>